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47596" w14:textId="77777777" w:rsidR="00A85AD8" w:rsidRDefault="00A85AD8" w:rsidP="002C22F7">
      <w:pPr>
        <w:pStyle w:val="C"/>
        <w:spacing w:line="340" w:lineRule="exact"/>
        <w:ind w:left="0" w:firstLine="0"/>
        <w:jc w:val="left"/>
        <w:rPr>
          <w:b/>
        </w:rPr>
      </w:pPr>
      <w:bookmarkStart w:id="0" w:name="_GoBack"/>
      <w:bookmarkEnd w:id="0"/>
    </w:p>
    <w:p w14:paraId="254FA5D4" w14:textId="77777777" w:rsidR="00A85AD8" w:rsidRDefault="00A85AD8" w:rsidP="00A85AD8">
      <w:pPr>
        <w:pStyle w:val="C"/>
        <w:numPr>
          <w:ilvl w:val="0"/>
          <w:numId w:val="33"/>
        </w:numPr>
        <w:spacing w:line="340" w:lineRule="exact"/>
        <w:jc w:val="center"/>
        <w:rPr>
          <w:b/>
        </w:rPr>
      </w:pPr>
      <w:r>
        <w:rPr>
          <w:b/>
        </w:rPr>
        <w:t>MELLÉKLET</w:t>
      </w:r>
    </w:p>
    <w:p w14:paraId="7B99818A" w14:textId="77777777" w:rsidR="00A85AD8" w:rsidRDefault="00A85AD8" w:rsidP="00A85AD8">
      <w:pPr>
        <w:pStyle w:val="C"/>
        <w:spacing w:line="340" w:lineRule="exact"/>
        <w:ind w:left="0" w:firstLine="0"/>
        <w:rPr>
          <w:b/>
        </w:rPr>
      </w:pPr>
    </w:p>
    <w:p w14:paraId="4B0B8EEE" w14:textId="5F424F80" w:rsidR="00A85AD8" w:rsidRDefault="00A85AD8" w:rsidP="00A85AD8">
      <w:pPr>
        <w:pStyle w:val="C"/>
        <w:spacing w:line="340" w:lineRule="exact"/>
        <w:ind w:left="0" w:firstLine="0"/>
        <w:jc w:val="center"/>
        <w:rPr>
          <w:b/>
        </w:rPr>
      </w:pPr>
      <w:r>
        <w:rPr>
          <w:b/>
        </w:rPr>
        <w:t>DEFFINÍCÓK</w:t>
      </w:r>
      <w:r w:rsidR="005664A0">
        <w:rPr>
          <w:b/>
        </w:rPr>
        <w:t xml:space="preserve"> ÉS</w:t>
      </w:r>
      <w:r>
        <w:rPr>
          <w:b/>
        </w:rPr>
        <w:t xml:space="preserve"> </w:t>
      </w:r>
      <w:r w:rsidR="00FC684F">
        <w:rPr>
          <w:b/>
        </w:rPr>
        <w:t>RÖVIDÍTÉSEK</w:t>
      </w:r>
    </w:p>
    <w:p w14:paraId="15772DC9" w14:textId="77777777" w:rsidR="00A85AD8" w:rsidRDefault="00A85AD8" w:rsidP="00A85AD8">
      <w:pPr>
        <w:pStyle w:val="C"/>
        <w:spacing w:line="340" w:lineRule="exact"/>
        <w:ind w:left="0" w:firstLine="0"/>
        <w:jc w:val="center"/>
        <w:rPr>
          <w:b/>
        </w:rPr>
      </w:pPr>
    </w:p>
    <w:p w14:paraId="18242C06" w14:textId="77777777" w:rsidR="009E221C" w:rsidRDefault="009E221C" w:rsidP="00CE2290">
      <w:pPr>
        <w:pStyle w:val="C"/>
        <w:spacing w:line="340" w:lineRule="exact"/>
        <w:ind w:left="0" w:firstLine="0"/>
      </w:pPr>
    </w:p>
    <w:p w14:paraId="6809B2BA" w14:textId="77777777" w:rsidR="00AF1DE9" w:rsidRPr="0048326A" w:rsidRDefault="00AF1DE9" w:rsidP="00AF1DE9">
      <w:pPr>
        <w:pStyle w:val="C"/>
        <w:spacing w:line="340" w:lineRule="exact"/>
        <w:ind w:left="0" w:firstLine="0"/>
        <w:rPr>
          <w:b/>
        </w:rPr>
      </w:pPr>
    </w:p>
    <w:p w14:paraId="571A65F5" w14:textId="6BB4D9BE" w:rsidR="009E221C" w:rsidRDefault="009E221C" w:rsidP="00CE2290">
      <w:pPr>
        <w:pStyle w:val="C"/>
        <w:spacing w:line="340" w:lineRule="exact"/>
        <w:ind w:left="0" w:firstLine="0"/>
      </w:pPr>
      <w:r w:rsidRPr="001407B5">
        <w:rPr>
          <w:b/>
        </w:rPr>
        <w:t xml:space="preserve">Beszélgetési Idő: </w:t>
      </w:r>
      <w:r>
        <w:t>a Sikeres Hívás során az ISUP jelzésrendszer ’</w:t>
      </w:r>
      <w:proofErr w:type="spellStart"/>
      <w:r>
        <w:t>Answer</w:t>
      </w:r>
      <w:proofErr w:type="spellEnd"/>
      <w:r>
        <w:t xml:space="preserve"> </w:t>
      </w:r>
      <w:proofErr w:type="spellStart"/>
      <w:r>
        <w:t>Message</w:t>
      </w:r>
      <w:proofErr w:type="spellEnd"/>
      <w:r>
        <w:t>’ vagy ’</w:t>
      </w:r>
      <w:proofErr w:type="spellStart"/>
      <w:r>
        <w:t>Connect</w:t>
      </w:r>
      <w:proofErr w:type="spellEnd"/>
      <w:r>
        <w:t xml:space="preserve">’ üzenetének a </w:t>
      </w:r>
      <w:r w:rsidR="00E2554B">
        <w:t xml:space="preserve">Magyar Telekom összekapcsolási központjában </w:t>
      </w:r>
      <w:r>
        <w:t>való detektálásától az ISUP jelzésrendszer ’</w:t>
      </w:r>
      <w:proofErr w:type="spellStart"/>
      <w:r>
        <w:t>Release</w:t>
      </w:r>
      <w:proofErr w:type="spellEnd"/>
      <w:r>
        <w:t xml:space="preserve">’ üzenetének a </w:t>
      </w:r>
      <w:r w:rsidR="00E2554B">
        <w:t xml:space="preserve">Magyar Telekom összekapcsolási központjában </w:t>
      </w:r>
      <w:r>
        <w:t>való detektálásáig tartó – másodpercre kerekített – időtartam (tartásidő).</w:t>
      </w:r>
    </w:p>
    <w:p w14:paraId="2AC6406C" w14:textId="77777777" w:rsidR="002532ED" w:rsidRDefault="002532ED" w:rsidP="00CE2290">
      <w:pPr>
        <w:pStyle w:val="C"/>
        <w:spacing w:line="340" w:lineRule="exact"/>
        <w:ind w:left="0" w:firstLine="0"/>
        <w:rPr>
          <w:b/>
        </w:rPr>
      </w:pPr>
    </w:p>
    <w:p w14:paraId="12A22F9A" w14:textId="490FF671" w:rsidR="009E221C" w:rsidRDefault="009E221C" w:rsidP="00CE2290">
      <w:pPr>
        <w:pStyle w:val="C"/>
        <w:spacing w:line="340" w:lineRule="exact"/>
        <w:ind w:left="0" w:firstLine="0"/>
      </w:pPr>
      <w:r w:rsidRPr="001407B5">
        <w:rPr>
          <w:b/>
        </w:rPr>
        <w:t>Egyszeri Díj:</w:t>
      </w:r>
      <w:r>
        <w:t xml:space="preserve"> egy olyan díjat jelent, amelyet a </w:t>
      </w:r>
      <w:r w:rsidR="00E2554B">
        <w:t xml:space="preserve">Partner </w:t>
      </w:r>
      <w:r>
        <w:t xml:space="preserve">egy adott Szolgáltatás első igénybevételekor köteles fizetni a </w:t>
      </w:r>
      <w:r w:rsidR="00E2554B">
        <w:t>Magyar Telekomnak</w:t>
      </w:r>
      <w:r>
        <w:t>.</w:t>
      </w:r>
    </w:p>
    <w:p w14:paraId="601C367A" w14:textId="77777777" w:rsidR="00103ADF" w:rsidRDefault="00103ADF" w:rsidP="00CE2290">
      <w:pPr>
        <w:pStyle w:val="C"/>
        <w:spacing w:line="340" w:lineRule="exact"/>
        <w:ind w:left="0" w:firstLine="0"/>
        <w:rPr>
          <w:b/>
        </w:rPr>
      </w:pPr>
    </w:p>
    <w:p w14:paraId="3562D118" w14:textId="295BC625" w:rsidR="009E221C" w:rsidRDefault="009E221C" w:rsidP="00CE2290">
      <w:pPr>
        <w:pStyle w:val="C"/>
        <w:spacing w:line="340" w:lineRule="exact"/>
        <w:ind w:left="0" w:firstLine="0"/>
      </w:pPr>
      <w:r w:rsidRPr="001407B5">
        <w:rPr>
          <w:b/>
        </w:rPr>
        <w:t>Előfizetői Díj:</w:t>
      </w:r>
      <w:r>
        <w:t xml:space="preserve"> valamelyik Fél által a saját </w:t>
      </w:r>
      <w:r w:rsidR="0067699F">
        <w:t xml:space="preserve">előfizetőinek </w:t>
      </w:r>
      <w:r>
        <w:t>kiszámlázandó – az Előfizetői Tarifák alapján kiszámolt – forgalmi, valamint a havi és az egyszeri díjak összegét jelenti.</w:t>
      </w:r>
    </w:p>
    <w:p w14:paraId="3E64D23A" w14:textId="77777777" w:rsidR="002532ED" w:rsidRDefault="002532ED" w:rsidP="00CE2290">
      <w:pPr>
        <w:pStyle w:val="C"/>
        <w:spacing w:line="340" w:lineRule="exact"/>
        <w:ind w:left="0" w:firstLine="0"/>
        <w:rPr>
          <w:b/>
        </w:rPr>
      </w:pPr>
    </w:p>
    <w:p w14:paraId="3CE1D090" w14:textId="77777777" w:rsidR="009E221C" w:rsidRDefault="009E221C" w:rsidP="00CE2290">
      <w:pPr>
        <w:pStyle w:val="C"/>
        <w:spacing w:line="340" w:lineRule="exact"/>
        <w:ind w:left="0" w:firstLine="0"/>
      </w:pPr>
      <w:r w:rsidRPr="001407B5">
        <w:rPr>
          <w:b/>
        </w:rPr>
        <w:t>Előfizetői Tarifák:</w:t>
      </w:r>
      <w:r>
        <w:t xml:space="preserve"> valamelyik Fél által a saját Előfizetőire alkalmazott szolgáltatási tarifákat (szolgáltatási egységárakat) jelentik.</w:t>
      </w:r>
    </w:p>
    <w:p w14:paraId="3E0B07D1" w14:textId="77777777" w:rsidR="002532ED" w:rsidRDefault="002532ED" w:rsidP="00CE2290">
      <w:pPr>
        <w:pStyle w:val="C"/>
        <w:spacing w:line="340" w:lineRule="exact"/>
        <w:ind w:left="0" w:firstLine="0"/>
        <w:rPr>
          <w:b/>
        </w:rPr>
      </w:pPr>
    </w:p>
    <w:p w14:paraId="4837BF28" w14:textId="524C338B" w:rsidR="009E221C" w:rsidRDefault="009E221C" w:rsidP="00CE2290">
      <w:pPr>
        <w:pStyle w:val="C"/>
        <w:spacing w:line="340" w:lineRule="exact"/>
        <w:ind w:left="0" w:firstLine="0"/>
      </w:pPr>
      <w:r w:rsidRPr="004F1C3C">
        <w:rPr>
          <w:b/>
        </w:rPr>
        <w:t>Előrejelzés:</w:t>
      </w:r>
      <w:r w:rsidRPr="004F1C3C">
        <w:t xml:space="preserve"> a </w:t>
      </w:r>
      <w:r w:rsidR="0067699F">
        <w:t>f</w:t>
      </w:r>
      <w:r w:rsidR="0067699F" w:rsidRPr="004F1C3C">
        <w:t xml:space="preserve">orgalmi </w:t>
      </w:r>
      <w:r w:rsidR="0067699F">
        <w:t>e</w:t>
      </w:r>
      <w:r w:rsidR="0067699F" w:rsidRPr="004F1C3C">
        <w:t xml:space="preserve">lőrejelzést </w:t>
      </w:r>
      <w:r w:rsidRPr="004F1C3C">
        <w:t xml:space="preserve">vagy a </w:t>
      </w:r>
      <w:r w:rsidR="0067699F">
        <w:t>k</w:t>
      </w:r>
      <w:r w:rsidR="0067699F" w:rsidRPr="004F1C3C">
        <w:t xml:space="preserve">apacitás </w:t>
      </w:r>
      <w:r w:rsidR="0067699F">
        <w:t>e</w:t>
      </w:r>
      <w:r w:rsidR="0067699F" w:rsidRPr="004F1C3C">
        <w:t xml:space="preserve">lőrejelzést </w:t>
      </w:r>
      <w:r w:rsidRPr="004F1C3C">
        <w:t>jelenti együttesen.</w:t>
      </w:r>
    </w:p>
    <w:p w14:paraId="1DAD4065" w14:textId="77777777" w:rsidR="00F62091" w:rsidRPr="004F1C3C" w:rsidRDefault="00F62091" w:rsidP="00CE2290">
      <w:pPr>
        <w:pStyle w:val="C"/>
        <w:spacing w:line="340" w:lineRule="exact"/>
        <w:ind w:left="0" w:firstLine="0"/>
      </w:pPr>
    </w:p>
    <w:p w14:paraId="1A8C1485" w14:textId="62575967" w:rsidR="00F62091" w:rsidRPr="00315FCC" w:rsidRDefault="00F62091" w:rsidP="00F62091">
      <w:pPr>
        <w:pStyle w:val="C"/>
        <w:spacing w:line="340" w:lineRule="exact"/>
        <w:ind w:left="0" w:firstLine="0"/>
      </w:pPr>
      <w:r w:rsidRPr="00315FCC">
        <w:rPr>
          <w:b/>
        </w:rPr>
        <w:t>Fél megjelölés</w:t>
      </w:r>
      <w:r w:rsidRPr="00315FCC">
        <w:t xml:space="preserve"> a szövegkörnyezettől függően a Magyar Telekomot vagy a Partnert jelenti. A „Felek” megjelölés a Magyar Telekomot és a Partnert együttesen jelenti.</w:t>
      </w:r>
    </w:p>
    <w:p w14:paraId="0AFC0424" w14:textId="77777777" w:rsidR="00F62091" w:rsidRDefault="00F62091" w:rsidP="00F62091">
      <w:pPr>
        <w:pStyle w:val="C"/>
        <w:spacing w:line="340" w:lineRule="exact"/>
        <w:ind w:left="0" w:firstLine="0"/>
        <w:rPr>
          <w:b/>
        </w:rPr>
      </w:pPr>
    </w:p>
    <w:p w14:paraId="01379A0C" w14:textId="16D24151" w:rsidR="00F62091" w:rsidRDefault="00F62091" w:rsidP="00F62091">
      <w:pPr>
        <w:pStyle w:val="C"/>
        <w:spacing w:line="340" w:lineRule="exact"/>
        <w:ind w:left="0" w:firstLine="0"/>
      </w:pPr>
      <w:r w:rsidRPr="001407B5">
        <w:rPr>
          <w:b/>
        </w:rPr>
        <w:t>Forgalmi Díj:</w:t>
      </w:r>
      <w:r>
        <w:t xml:space="preserve"> egy olyan díjat jelent, amelyet a </w:t>
      </w:r>
      <w:r w:rsidR="0067699F">
        <w:t xml:space="preserve">Partner </w:t>
      </w:r>
      <w:r>
        <w:t xml:space="preserve">az adott hónapban általa igénybe vett </w:t>
      </w:r>
      <w:r w:rsidR="0067699F">
        <w:t xml:space="preserve">forgalmi szolgáltatásért </w:t>
      </w:r>
      <w:r>
        <w:t xml:space="preserve">köteles fizetni a </w:t>
      </w:r>
      <w:r w:rsidR="0067699F">
        <w:t>Magyar Telekomnak</w:t>
      </w:r>
      <w:r>
        <w:t xml:space="preserve">: </w:t>
      </w:r>
      <w:r w:rsidRPr="001407B5">
        <w:t>a)</w:t>
      </w:r>
      <w:r>
        <w:t xml:space="preserve"> a vonatkozó Forgalmi Tarifa és a hívásrekordokban rögzített Beszélgetési Idők szorzata; vagy </w:t>
      </w:r>
      <w:r w:rsidRPr="001407B5">
        <w:t>b)</w:t>
      </w:r>
      <w:r>
        <w:t xml:space="preserve"> a vonatkozó </w:t>
      </w:r>
      <w:proofErr w:type="spellStart"/>
      <w:r w:rsidR="0067699F">
        <w:t>hívásonkénti</w:t>
      </w:r>
      <w:proofErr w:type="spellEnd"/>
      <w:r w:rsidR="0067699F">
        <w:t xml:space="preserve"> díj </w:t>
      </w:r>
      <w:r>
        <w:t xml:space="preserve">és a </w:t>
      </w:r>
      <w:r w:rsidR="004D123B">
        <w:t xml:space="preserve">hívások </w:t>
      </w:r>
      <w:r>
        <w:t>darabszámának szorzata; alapján.</w:t>
      </w:r>
    </w:p>
    <w:p w14:paraId="4D1D5DFB" w14:textId="77777777" w:rsidR="00F62091" w:rsidRDefault="00F62091" w:rsidP="00F62091">
      <w:pPr>
        <w:pStyle w:val="C"/>
        <w:spacing w:line="340" w:lineRule="exact"/>
        <w:ind w:left="0" w:firstLine="0"/>
        <w:rPr>
          <w:b/>
        </w:rPr>
      </w:pPr>
    </w:p>
    <w:p w14:paraId="7AAB32AF" w14:textId="550E6D2B" w:rsidR="00F62091" w:rsidRDefault="00F62091" w:rsidP="00F62091">
      <w:pPr>
        <w:pStyle w:val="C"/>
        <w:spacing w:line="340" w:lineRule="exact"/>
        <w:ind w:left="0" w:firstLine="0"/>
      </w:pPr>
      <w:r w:rsidRPr="001407B5">
        <w:rPr>
          <w:b/>
        </w:rPr>
        <w:t>Forgalmi Tarifa:</w:t>
      </w:r>
      <w:r>
        <w:t xml:space="preserve"> egy olyan percalapú forgalmi egységárat jelent, amelyet a </w:t>
      </w:r>
      <w:r w:rsidR="0067699F">
        <w:t xml:space="preserve">Magyar Telekom </w:t>
      </w:r>
      <w:r>
        <w:t xml:space="preserve">alkalmaz egy adott </w:t>
      </w:r>
      <w:r w:rsidR="0067699F">
        <w:t xml:space="preserve">forgalmi szolgáltatás </w:t>
      </w:r>
      <w:r>
        <w:t>Forgalmi Díjának kiszámításához.</w:t>
      </w:r>
    </w:p>
    <w:p w14:paraId="14C45A57" w14:textId="77777777" w:rsidR="00F62091" w:rsidRDefault="00F62091" w:rsidP="00F62091">
      <w:pPr>
        <w:pStyle w:val="C"/>
        <w:spacing w:line="340" w:lineRule="exact"/>
        <w:ind w:left="0" w:firstLine="0"/>
        <w:rPr>
          <w:b/>
        </w:rPr>
      </w:pPr>
    </w:p>
    <w:p w14:paraId="4BCA6B56" w14:textId="77777777" w:rsidR="00F62091" w:rsidRPr="004526A7" w:rsidRDefault="00F62091" w:rsidP="00F62091">
      <w:pPr>
        <w:pStyle w:val="C"/>
        <w:spacing w:line="340" w:lineRule="exact"/>
        <w:ind w:left="0" w:firstLine="0"/>
        <w:rPr>
          <w:b/>
        </w:rPr>
      </w:pPr>
      <w:r w:rsidRPr="004526A7">
        <w:rPr>
          <w:b/>
        </w:rPr>
        <w:t xml:space="preserve">GSMA: </w:t>
      </w:r>
      <w:r w:rsidRPr="004526A7">
        <w:t xml:space="preserve">GSM </w:t>
      </w:r>
      <w:proofErr w:type="spellStart"/>
      <w:r w:rsidRPr="004526A7">
        <w:t>Association</w:t>
      </w:r>
      <w:proofErr w:type="spellEnd"/>
      <w:r w:rsidRPr="004526A7">
        <w:t>, a GSM technológiában érdekelt szolgáltatók, beszállítók és egyéb társaságok legfőbb testülete, mely a tagok felhatalmazása alapján jogosult GSM standardok és folyamatok kibocsátására;</w:t>
      </w:r>
    </w:p>
    <w:p w14:paraId="2F8490C5" w14:textId="77777777" w:rsidR="00F62091" w:rsidRDefault="00F62091" w:rsidP="00F62091">
      <w:pPr>
        <w:pStyle w:val="C"/>
        <w:spacing w:line="340" w:lineRule="exact"/>
        <w:ind w:left="0" w:firstLine="0"/>
        <w:rPr>
          <w:b/>
        </w:rPr>
      </w:pPr>
    </w:p>
    <w:p w14:paraId="0BB296D5" w14:textId="77777777" w:rsidR="00F62091" w:rsidRDefault="00F62091" w:rsidP="00F62091">
      <w:pPr>
        <w:pStyle w:val="C"/>
        <w:spacing w:line="340" w:lineRule="exact"/>
        <w:ind w:left="0" w:firstLine="0"/>
      </w:pPr>
      <w:r w:rsidRPr="004526A7">
        <w:rPr>
          <w:b/>
        </w:rPr>
        <w:t xml:space="preserve">GSMA Állandó Referencia Dokumentumok: </w:t>
      </w:r>
      <w:r w:rsidRPr="004526A7">
        <w:t>A GSMA által létrehozott, elismert és általa kötelező érvé</w:t>
      </w:r>
      <w:r>
        <w:t>nyűként elfogadott dokumentumok.</w:t>
      </w:r>
    </w:p>
    <w:p w14:paraId="23A9D9E7" w14:textId="77777777" w:rsidR="00F62091" w:rsidRDefault="00F62091" w:rsidP="00F62091">
      <w:pPr>
        <w:pStyle w:val="C"/>
        <w:spacing w:line="340" w:lineRule="exact"/>
        <w:ind w:left="0" w:firstLine="0"/>
        <w:rPr>
          <w:b/>
        </w:rPr>
      </w:pPr>
    </w:p>
    <w:p w14:paraId="46193AED" w14:textId="2A1C80B8" w:rsidR="00F62091" w:rsidRDefault="00F62091" w:rsidP="00F62091">
      <w:pPr>
        <w:pStyle w:val="C"/>
        <w:spacing w:line="340" w:lineRule="exact"/>
        <w:ind w:left="0" w:firstLine="0"/>
      </w:pPr>
      <w:r w:rsidRPr="001407B5">
        <w:rPr>
          <w:b/>
        </w:rPr>
        <w:t>Havi Díj:</w:t>
      </w:r>
      <w:r>
        <w:t xml:space="preserve"> egy olyan díjat jelent, amelyet Partner egy adott </w:t>
      </w:r>
      <w:r w:rsidR="0067699F">
        <w:t xml:space="preserve">szolgáltatás </w:t>
      </w:r>
      <w:r>
        <w:t>használatáért – a tényleges forgalomtól függetlenül – köteles rendszeresen fizetni a Magyar Telekomnak.</w:t>
      </w:r>
    </w:p>
    <w:p w14:paraId="50F65EED" w14:textId="77777777" w:rsidR="00F62091" w:rsidRDefault="00F62091" w:rsidP="00F62091">
      <w:pPr>
        <w:pStyle w:val="C"/>
        <w:spacing w:line="340" w:lineRule="exact"/>
        <w:ind w:left="0" w:firstLine="0"/>
      </w:pPr>
    </w:p>
    <w:p w14:paraId="16A49938" w14:textId="77777777" w:rsidR="00F62091" w:rsidRPr="001407B5" w:rsidRDefault="00F62091" w:rsidP="00F62091">
      <w:pPr>
        <w:pStyle w:val="C"/>
        <w:spacing w:line="340" w:lineRule="exact"/>
        <w:ind w:left="0" w:firstLine="0"/>
      </w:pPr>
      <w:r w:rsidRPr="001407B5">
        <w:rPr>
          <w:b/>
        </w:rPr>
        <w:t>Hét, hónap vagy év:</w:t>
      </w:r>
      <w:r w:rsidRPr="001407B5">
        <w:t xml:space="preserve"> formájában feltüntetett időtartamok naptári hétként, hónapként, illetve évként értelmezendők, hacsak ezt az adott szöveg másképp nem jelöli.</w:t>
      </w:r>
    </w:p>
    <w:p w14:paraId="4396BB22" w14:textId="77777777" w:rsidR="00F62091" w:rsidRDefault="00F62091" w:rsidP="00F62091">
      <w:pPr>
        <w:pStyle w:val="C"/>
        <w:spacing w:line="340" w:lineRule="exact"/>
        <w:ind w:left="0" w:firstLine="0"/>
        <w:rPr>
          <w:b/>
        </w:rPr>
      </w:pPr>
    </w:p>
    <w:p w14:paraId="0895CD43" w14:textId="77777777" w:rsidR="00F62091" w:rsidRPr="006E2E3D" w:rsidRDefault="00F62091" w:rsidP="00F62091">
      <w:pPr>
        <w:pStyle w:val="C"/>
        <w:spacing w:line="340" w:lineRule="exact"/>
        <w:ind w:left="0" w:firstLine="0"/>
      </w:pPr>
      <w:r w:rsidRPr="006E2E3D">
        <w:rPr>
          <w:b/>
        </w:rPr>
        <w:t>Hiba:</w:t>
      </w:r>
      <w:r w:rsidRPr="006E2E3D">
        <w:t xml:space="preserve"> az az állapot, amikor az eszköz meghibásodás folytán nem képes a tőle megkívánt funkció ellátására. Nem beszélünk Hibáról, ha az eszköz üzemfenntartási munka miatt nem képes a megkívánt funkciók teljesítésére (ITU-T E.800 5341).</w:t>
      </w:r>
    </w:p>
    <w:p w14:paraId="75F048DF" w14:textId="77777777" w:rsidR="00F62091" w:rsidRDefault="00F62091" w:rsidP="00F62091">
      <w:pPr>
        <w:pStyle w:val="C"/>
        <w:spacing w:line="340" w:lineRule="exact"/>
        <w:ind w:left="0" w:firstLine="0"/>
        <w:rPr>
          <w:b/>
        </w:rPr>
      </w:pPr>
    </w:p>
    <w:p w14:paraId="1E28826F" w14:textId="66060E55" w:rsidR="00F62091" w:rsidRPr="006E2E3D" w:rsidRDefault="00F62091" w:rsidP="00F62091">
      <w:pPr>
        <w:pStyle w:val="C"/>
        <w:spacing w:line="340" w:lineRule="exact"/>
        <w:ind w:left="0" w:firstLine="0"/>
      </w:pPr>
      <w:r w:rsidRPr="006E2E3D">
        <w:rPr>
          <w:b/>
        </w:rPr>
        <w:t>Hibaelhárítási Idő:</w:t>
      </w:r>
      <w:r w:rsidRPr="006E2E3D">
        <w:t xml:space="preserve"> a hiba </w:t>
      </w:r>
      <w:r w:rsidR="0067699F">
        <w:t>Magyar Telekom</w:t>
      </w:r>
      <w:r w:rsidR="0067699F" w:rsidRPr="006E2E3D">
        <w:t xml:space="preserve"> </w:t>
      </w:r>
      <w:r w:rsidRPr="006E2E3D">
        <w:t xml:space="preserve">általi észlelésétől, illetve a hiba </w:t>
      </w:r>
      <w:r w:rsidR="0067699F">
        <w:t>Partner</w:t>
      </w:r>
      <w:r w:rsidR="0067699F" w:rsidRPr="006E2E3D">
        <w:t xml:space="preserve"> </w:t>
      </w:r>
      <w:r w:rsidRPr="006E2E3D">
        <w:t xml:space="preserve">általi bejelentésétől a </w:t>
      </w:r>
      <w:r w:rsidR="0067699F">
        <w:t>s</w:t>
      </w:r>
      <w:r w:rsidR="0067699F" w:rsidRPr="006E2E3D">
        <w:t xml:space="preserve">zolgáltatás </w:t>
      </w:r>
      <w:r w:rsidRPr="006E2E3D">
        <w:t>helyreállításáig tartó időt jelenti. A hiteles hivatkozás: ITU-T E. 800 ajánlás, 5611 fogalom.</w:t>
      </w:r>
    </w:p>
    <w:p w14:paraId="15D05026" w14:textId="77777777" w:rsidR="00F62091" w:rsidRDefault="00F62091" w:rsidP="00F62091">
      <w:pPr>
        <w:pStyle w:val="C"/>
        <w:spacing w:line="340" w:lineRule="exact"/>
        <w:ind w:left="0" w:firstLine="0"/>
        <w:rPr>
          <w:b/>
        </w:rPr>
      </w:pPr>
    </w:p>
    <w:p w14:paraId="739F7D25" w14:textId="77777777" w:rsidR="00F62091" w:rsidRDefault="00F62091" w:rsidP="00F62091">
      <w:pPr>
        <w:pStyle w:val="C"/>
        <w:spacing w:line="340" w:lineRule="exact"/>
        <w:ind w:left="0" w:firstLine="0"/>
      </w:pPr>
      <w:r w:rsidRPr="00A26AD4">
        <w:rPr>
          <w:b/>
        </w:rPr>
        <w:t>Hónap időtartam:</w:t>
      </w:r>
      <w:r>
        <w:rPr>
          <w:b/>
        </w:rPr>
        <w:t xml:space="preserve"> </w:t>
      </w:r>
      <w:r>
        <w:t>a</w:t>
      </w:r>
      <w:r w:rsidRPr="001407B5">
        <w:t xml:space="preserve">mennyiben a szövegkörnyezet alapján a </w:t>
      </w:r>
      <w:proofErr w:type="gramStart"/>
      <w:r w:rsidRPr="001407B5">
        <w:t>hónap</w:t>
      </w:r>
      <w:proofErr w:type="gramEnd"/>
      <w:r w:rsidRPr="001407B5">
        <w:t xml:space="preserve"> mint időtartam értelmezendő, akkor az időtartam viszonyítási dátumot követő napon kezdődik, és</w:t>
      </w:r>
      <w:r>
        <w:t xml:space="preserve"> </w:t>
      </w:r>
      <w:r w:rsidRPr="001407B5">
        <w:t>a) a következő hónapnak a viszonyítási dátum napjával megegye</w:t>
      </w:r>
      <w:r>
        <w:t xml:space="preserve">ző napjáig; vagy ha nincs ilyen </w:t>
      </w:r>
      <w:r w:rsidRPr="001407B5">
        <w:t>nap a következő hónapban, akkor</w:t>
      </w:r>
      <w:r>
        <w:t xml:space="preserve"> </w:t>
      </w:r>
      <w:r w:rsidRPr="001407B5">
        <w:t>b) a következő hónap utolsó napjáig</w:t>
      </w:r>
      <w:r>
        <w:t xml:space="preserve"> </w:t>
      </w:r>
      <w:r w:rsidRPr="001407B5">
        <w:t>tart.</w:t>
      </w:r>
    </w:p>
    <w:p w14:paraId="10928B2C" w14:textId="77777777" w:rsidR="00F62091" w:rsidRDefault="00F62091" w:rsidP="00F62091">
      <w:pPr>
        <w:pStyle w:val="C"/>
        <w:spacing w:line="340" w:lineRule="exact"/>
        <w:ind w:left="0" w:firstLine="0"/>
        <w:rPr>
          <w:b/>
        </w:rPr>
      </w:pPr>
    </w:p>
    <w:p w14:paraId="60F1C643" w14:textId="39D68827" w:rsidR="00F62091" w:rsidRPr="00555527" w:rsidRDefault="00F62091" w:rsidP="00F62091">
      <w:pPr>
        <w:pStyle w:val="C"/>
        <w:spacing w:line="340" w:lineRule="exact"/>
        <w:ind w:left="0" w:firstLine="0"/>
      </w:pPr>
      <w:r w:rsidRPr="00555527">
        <w:rPr>
          <w:b/>
        </w:rPr>
        <w:t>Igénybejelentés:</w:t>
      </w:r>
      <w:r w:rsidRPr="00555527">
        <w:t xml:space="preserve"> egy, az </w:t>
      </w:r>
      <w:r>
        <w:t xml:space="preserve">MT RRO </w:t>
      </w:r>
      <w:r w:rsidRPr="00555527">
        <w:t>vonatkozó rendelkezései szerint benyújtott: a) </w:t>
      </w:r>
      <w:r>
        <w:t>f</w:t>
      </w:r>
      <w:r w:rsidRPr="00555527">
        <w:t xml:space="preserve">orgalmi </w:t>
      </w:r>
      <w:r>
        <w:t>s</w:t>
      </w:r>
      <w:r w:rsidRPr="00555527">
        <w:t xml:space="preserve">zolgáltatás </w:t>
      </w:r>
      <w:r>
        <w:t>beállítás i</w:t>
      </w:r>
      <w:r w:rsidRPr="00555527">
        <w:t>génybejelentést;</w:t>
      </w:r>
      <w:r>
        <w:t xml:space="preserve"> </w:t>
      </w:r>
      <w:r w:rsidRPr="00555527">
        <w:t>b) </w:t>
      </w:r>
      <w:r>
        <w:t>díjbeállítás/díjmódosítás i</w:t>
      </w:r>
      <w:r w:rsidRPr="00555527">
        <w:t>génybejelentést;</w:t>
      </w:r>
      <w:r>
        <w:t xml:space="preserve"> </w:t>
      </w:r>
      <w:r w:rsidRPr="00555527">
        <w:t>c) </w:t>
      </w:r>
      <w:r>
        <w:t>új irány felvétele i</w:t>
      </w:r>
      <w:r w:rsidRPr="00555527">
        <w:t>génybejelentést;</w:t>
      </w:r>
      <w:r>
        <w:t xml:space="preserve"> </w:t>
      </w:r>
      <w:r w:rsidRPr="00555527">
        <w:t>d) </w:t>
      </w:r>
      <w:r>
        <w:t>új szolgáltatás beállítása i</w:t>
      </w:r>
      <w:r w:rsidRPr="00555527">
        <w:t>génybejelentést;</w:t>
      </w:r>
      <w:r>
        <w:t xml:space="preserve"> </w:t>
      </w:r>
      <w:r w:rsidRPr="00555527">
        <w:t>e) </w:t>
      </w:r>
      <w:r>
        <w:t>egyéb b</w:t>
      </w:r>
      <w:r w:rsidRPr="00555527">
        <w:t xml:space="preserve">eállítási </w:t>
      </w:r>
      <w:r>
        <w:t>i</w:t>
      </w:r>
      <w:r w:rsidRPr="00555527">
        <w:t>génybejelentést</w:t>
      </w:r>
      <w:r>
        <w:t xml:space="preserve"> </w:t>
      </w:r>
      <w:proofErr w:type="gramStart"/>
      <w:r w:rsidRPr="00555527">
        <w:t>jelent</w:t>
      </w:r>
      <w:r w:rsidR="00BE3365">
        <w:t>.</w:t>
      </w:r>
      <w:r w:rsidRPr="00555527">
        <w:t>.</w:t>
      </w:r>
      <w:proofErr w:type="gramEnd"/>
    </w:p>
    <w:p w14:paraId="364FE9C8" w14:textId="77777777" w:rsidR="00F62091" w:rsidRDefault="00F62091" w:rsidP="00F62091">
      <w:pPr>
        <w:pStyle w:val="C"/>
        <w:spacing w:line="340" w:lineRule="exact"/>
        <w:ind w:left="0" w:firstLine="0"/>
        <w:rPr>
          <w:b/>
        </w:rPr>
      </w:pPr>
    </w:p>
    <w:p w14:paraId="32C877A5" w14:textId="77777777" w:rsidR="00F62091" w:rsidRPr="004F1C3C" w:rsidRDefault="00F62091" w:rsidP="00F62091">
      <w:pPr>
        <w:pStyle w:val="C"/>
        <w:spacing w:line="340" w:lineRule="exact"/>
        <w:ind w:left="0" w:firstLine="0"/>
      </w:pPr>
      <w:r w:rsidRPr="004F1C3C">
        <w:rPr>
          <w:b/>
        </w:rPr>
        <w:t>Induló Előrejelzés:</w:t>
      </w:r>
      <w:r w:rsidRPr="004F1C3C">
        <w:t xml:space="preserve"> a Partner által benyújtott első Előrejelzést jelenti, olyan speciális Gördülő Előrejelzést, amelyben az első negyedév nem teljes naptári negyedév, ennél fogva az első negyedév helyett a Magyar Telekom részére történő benyújtás és az azt követő első naptári negyedév kezdete közötti időszak van feltüntetve.</w:t>
      </w:r>
    </w:p>
    <w:p w14:paraId="4FA2D48D" w14:textId="77777777" w:rsidR="00F62091" w:rsidRDefault="00F62091" w:rsidP="00F62091">
      <w:pPr>
        <w:pStyle w:val="C"/>
        <w:spacing w:line="340" w:lineRule="exact"/>
        <w:ind w:left="0" w:firstLine="0"/>
        <w:rPr>
          <w:b/>
        </w:rPr>
      </w:pPr>
    </w:p>
    <w:p w14:paraId="5AB6E4AA" w14:textId="49E7795C" w:rsidR="00DF29A4" w:rsidRPr="00470CBD" w:rsidRDefault="00DF29A4" w:rsidP="004526A7">
      <w:pPr>
        <w:pStyle w:val="C"/>
        <w:spacing w:line="340" w:lineRule="exact"/>
        <w:ind w:left="0" w:firstLine="0"/>
        <w:rPr>
          <w:bCs/>
        </w:rPr>
      </w:pPr>
      <w:r>
        <w:rPr>
          <w:b/>
        </w:rPr>
        <w:t xml:space="preserve">Iránymutatások: </w:t>
      </w:r>
      <w:r>
        <w:rPr>
          <w:bCs/>
        </w:rPr>
        <w:t xml:space="preserve">a BEREC 2022. szeptember 30-án kelt, </w:t>
      </w:r>
      <w:proofErr w:type="spellStart"/>
      <w:proofErr w:type="gramStart"/>
      <w:r>
        <w:rPr>
          <w:bCs/>
        </w:rPr>
        <w:t>BoR</w:t>
      </w:r>
      <w:proofErr w:type="spellEnd"/>
      <w:r>
        <w:rPr>
          <w:bCs/>
        </w:rPr>
        <w:t>(</w:t>
      </w:r>
      <w:proofErr w:type="gramEnd"/>
      <w:r>
        <w:rPr>
          <w:bCs/>
        </w:rPr>
        <w:t xml:space="preserve">22)147 számú iránymutatásai (BEREC </w:t>
      </w:r>
      <w:proofErr w:type="spellStart"/>
      <w:r>
        <w:rPr>
          <w:bCs/>
        </w:rPr>
        <w:t>Guidelines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the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application</w:t>
      </w:r>
      <w:proofErr w:type="spellEnd"/>
      <w:r>
        <w:rPr>
          <w:bCs/>
        </w:rPr>
        <w:t xml:space="preserve"> of </w:t>
      </w:r>
      <w:proofErr w:type="spellStart"/>
      <w:r>
        <w:rPr>
          <w:bCs/>
        </w:rPr>
        <w:t>Article</w:t>
      </w:r>
      <w:proofErr w:type="spellEnd"/>
      <w:r>
        <w:rPr>
          <w:bCs/>
        </w:rPr>
        <w:t xml:space="preserve"> 3 of </w:t>
      </w:r>
      <w:proofErr w:type="spellStart"/>
      <w:r>
        <w:rPr>
          <w:bCs/>
        </w:rPr>
        <w:t>Regulation</w:t>
      </w:r>
      <w:proofErr w:type="spellEnd"/>
      <w:r>
        <w:rPr>
          <w:bCs/>
        </w:rPr>
        <w:t xml:space="preserve"> (EU) 2022/612 of 6 </w:t>
      </w:r>
      <w:proofErr w:type="spellStart"/>
      <w:r>
        <w:rPr>
          <w:bCs/>
        </w:rPr>
        <w:t>April</w:t>
      </w:r>
      <w:proofErr w:type="spellEnd"/>
      <w:r>
        <w:rPr>
          <w:bCs/>
        </w:rPr>
        <w:t xml:space="preserve"> 2022 </w:t>
      </w:r>
      <w:proofErr w:type="spellStart"/>
      <w:r>
        <w:rPr>
          <w:bCs/>
        </w:rPr>
        <w:t>on</w:t>
      </w:r>
      <w:proofErr w:type="spellEnd"/>
      <w:r>
        <w:rPr>
          <w:bCs/>
        </w:rPr>
        <w:t xml:space="preserve"> roaming </w:t>
      </w:r>
      <w:proofErr w:type="spellStart"/>
      <w:r>
        <w:rPr>
          <w:bCs/>
        </w:rPr>
        <w:t>on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public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communications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networks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within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the</w:t>
      </w:r>
      <w:proofErr w:type="spellEnd"/>
      <w:r>
        <w:rPr>
          <w:bCs/>
        </w:rPr>
        <w:t xml:space="preserve"> Unión (Wholesale Roaming </w:t>
      </w:r>
      <w:proofErr w:type="spellStart"/>
      <w:r>
        <w:rPr>
          <w:bCs/>
        </w:rPr>
        <w:t>Guidelines</w:t>
      </w:r>
      <w:proofErr w:type="spellEnd"/>
      <w:r>
        <w:rPr>
          <w:bCs/>
        </w:rPr>
        <w:t>).</w:t>
      </w:r>
    </w:p>
    <w:p w14:paraId="089BD8BA" w14:textId="77777777" w:rsidR="00DF29A4" w:rsidRDefault="00DF29A4" w:rsidP="004526A7">
      <w:pPr>
        <w:pStyle w:val="C"/>
        <w:spacing w:line="340" w:lineRule="exact"/>
        <w:ind w:left="0" w:firstLine="0"/>
        <w:rPr>
          <w:b/>
        </w:rPr>
      </w:pPr>
    </w:p>
    <w:p w14:paraId="34C0F65F" w14:textId="356F444C" w:rsidR="004526A7" w:rsidRPr="004526A7" w:rsidRDefault="004526A7" w:rsidP="004526A7">
      <w:pPr>
        <w:pStyle w:val="C"/>
        <w:spacing w:line="340" w:lineRule="exact"/>
        <w:ind w:left="0" w:firstLine="0"/>
        <w:rPr>
          <w:b/>
        </w:rPr>
      </w:pPr>
      <w:r w:rsidRPr="004526A7">
        <w:rPr>
          <w:b/>
        </w:rPr>
        <w:t xml:space="preserve">ITU-T: </w:t>
      </w:r>
      <w:r w:rsidRPr="004526A7">
        <w:t xml:space="preserve">International </w:t>
      </w:r>
      <w:proofErr w:type="spellStart"/>
      <w:r w:rsidRPr="004526A7">
        <w:t>Telecommunications</w:t>
      </w:r>
      <w:proofErr w:type="spellEnd"/>
      <w:r w:rsidRPr="004526A7">
        <w:t xml:space="preserve"> Union, a Nemzetközi Távközlési Egyesület telekommunikációval és távközléssel kapcsolatos nemzetközi szabványosításra szakosodott szervezete.</w:t>
      </w:r>
    </w:p>
    <w:p w14:paraId="69B8697C" w14:textId="77777777" w:rsidR="004526A7" w:rsidRDefault="004526A7" w:rsidP="004526A7">
      <w:pPr>
        <w:pStyle w:val="C"/>
        <w:spacing w:line="340" w:lineRule="exact"/>
        <w:ind w:left="0" w:firstLine="0"/>
        <w:rPr>
          <w:b/>
        </w:rPr>
      </w:pPr>
    </w:p>
    <w:p w14:paraId="62B3A51E" w14:textId="763200D4" w:rsidR="00F62091" w:rsidRPr="006E2E3D" w:rsidRDefault="00F62091" w:rsidP="00F62091">
      <w:pPr>
        <w:pStyle w:val="C"/>
        <w:spacing w:line="340" w:lineRule="exact"/>
        <w:ind w:left="0" w:firstLine="0"/>
      </w:pPr>
      <w:r w:rsidRPr="006E2E3D">
        <w:rPr>
          <w:b/>
        </w:rPr>
        <w:lastRenderedPageBreak/>
        <w:t>Karbantartás:</w:t>
      </w:r>
      <w:r w:rsidRPr="006E2E3D">
        <w:t xml:space="preserve"> azon intézkedés, intézkedések, amelyek az előírt állapot megőrzésére vagy helyreállítására, valamint a </w:t>
      </w:r>
      <w:r w:rsidR="00BE3365">
        <w:t>h</w:t>
      </w:r>
      <w:r w:rsidR="00BE3365" w:rsidRPr="006E2E3D">
        <w:t xml:space="preserve">álózat </w:t>
      </w:r>
      <w:r w:rsidRPr="006E2E3D">
        <w:t>meglévő műszaki állapotának megítélésére szolgálnak. A Karbantartás a vizsgálat, a megelőzés és a helyreállítás munkálatait foglalja magába (ITU-T E800 5503).</w:t>
      </w:r>
    </w:p>
    <w:p w14:paraId="20D25F65" w14:textId="77777777" w:rsidR="00F62091" w:rsidRDefault="00F62091" w:rsidP="00F62091">
      <w:pPr>
        <w:pStyle w:val="C"/>
        <w:spacing w:line="340" w:lineRule="exact"/>
        <w:ind w:left="0" w:firstLine="0"/>
        <w:rPr>
          <w:b/>
        </w:rPr>
      </w:pPr>
    </w:p>
    <w:p w14:paraId="41A263F5" w14:textId="77777777" w:rsidR="00F62091" w:rsidRDefault="00F62091" w:rsidP="00F62091">
      <w:pPr>
        <w:pStyle w:val="C"/>
        <w:spacing w:line="340" w:lineRule="exact"/>
        <w:ind w:left="0" w:firstLine="0"/>
      </w:pPr>
      <w:r w:rsidRPr="001407B5">
        <w:rPr>
          <w:b/>
        </w:rPr>
        <w:t>Kompenzálás:</w:t>
      </w:r>
      <w:r>
        <w:t xml:space="preserve"> a Felek között adott időpontban, kölcsönösen fennálló követelések és kötelezettségek egymással szemben történő beszámítása, függetlenül attól, hogy a beszámítás időpontjában azok lejárt esedékességűek-e.</w:t>
      </w:r>
    </w:p>
    <w:p w14:paraId="0DE185AC" w14:textId="77777777" w:rsidR="00F62091" w:rsidRDefault="00F62091" w:rsidP="004526A7">
      <w:pPr>
        <w:pStyle w:val="C"/>
        <w:spacing w:line="340" w:lineRule="exact"/>
        <w:ind w:left="0" w:firstLine="0"/>
        <w:rPr>
          <w:b/>
        </w:rPr>
      </w:pPr>
    </w:p>
    <w:p w14:paraId="1FD1DEE5" w14:textId="55717755" w:rsidR="00F62091" w:rsidRDefault="00F62091" w:rsidP="00F62091">
      <w:pPr>
        <w:pStyle w:val="C"/>
        <w:spacing w:line="340" w:lineRule="exact"/>
        <w:ind w:left="0" w:firstLine="0"/>
        <w:rPr>
          <w:b/>
        </w:rPr>
      </w:pPr>
      <w:r w:rsidRPr="00315FCC">
        <w:rPr>
          <w:b/>
        </w:rPr>
        <w:t>Magyar Telekom:</w:t>
      </w:r>
      <w:r w:rsidRPr="00315FCC">
        <w:t xml:space="preserve"> a Magyar</w:t>
      </w:r>
      <w:r w:rsidR="00BE3365">
        <w:t xml:space="preserve"> Telekom</w:t>
      </w:r>
      <w:r w:rsidRPr="00315FCC">
        <w:t xml:space="preserve"> Távközlési </w:t>
      </w:r>
      <w:r w:rsidR="00BE3365">
        <w:t xml:space="preserve">Nyilvánosan Működő </w:t>
      </w:r>
      <w:r w:rsidRPr="00315FCC">
        <w:t>Részvénytársaságot jelenti (H-</w:t>
      </w:r>
      <w:r w:rsidR="00BE3365" w:rsidRPr="00315FCC">
        <w:t>10</w:t>
      </w:r>
      <w:r w:rsidR="00BE3365">
        <w:t>97</w:t>
      </w:r>
      <w:r w:rsidR="00BE3365" w:rsidRPr="00315FCC">
        <w:t xml:space="preserve"> </w:t>
      </w:r>
      <w:r w:rsidRPr="00315FCC">
        <w:t xml:space="preserve">Budapest, </w:t>
      </w:r>
      <w:r w:rsidR="00BE3365">
        <w:t>Könyves Kálmán krt. 36</w:t>
      </w:r>
      <w:r w:rsidRPr="00315FCC">
        <w:t xml:space="preserve">.). </w:t>
      </w:r>
    </w:p>
    <w:p w14:paraId="24C1875F" w14:textId="3E7D3575" w:rsidR="00BF38E7" w:rsidRPr="00BF38E7" w:rsidRDefault="00BF38E7" w:rsidP="00BE3365">
      <w:pPr>
        <w:pStyle w:val="C"/>
        <w:spacing w:line="340" w:lineRule="exact"/>
        <w:ind w:left="0" w:firstLine="0"/>
        <w:rPr>
          <w:b/>
        </w:rPr>
      </w:pPr>
    </w:p>
    <w:p w14:paraId="2F73094D" w14:textId="77777777" w:rsidR="00F62091" w:rsidRDefault="00F62091" w:rsidP="00F62091">
      <w:pPr>
        <w:pStyle w:val="C"/>
        <w:spacing w:line="340" w:lineRule="exact"/>
        <w:ind w:left="0" w:firstLine="0"/>
        <w:rPr>
          <w:b/>
        </w:rPr>
      </w:pPr>
    </w:p>
    <w:p w14:paraId="6B3894E1" w14:textId="033ED739" w:rsidR="00F62091" w:rsidRPr="00315FCC" w:rsidRDefault="00F62091" w:rsidP="00F62091">
      <w:pPr>
        <w:pStyle w:val="C"/>
        <w:spacing w:line="340" w:lineRule="exact"/>
        <w:ind w:left="0" w:firstLine="0"/>
      </w:pPr>
      <w:r w:rsidRPr="00315FCC">
        <w:rPr>
          <w:b/>
        </w:rPr>
        <w:t>M</w:t>
      </w:r>
      <w:r>
        <w:rPr>
          <w:b/>
        </w:rPr>
        <w:t>T RRO:</w:t>
      </w:r>
      <w:r w:rsidRPr="00315FCC">
        <w:t xml:space="preserve"> a Magyar Telekom mindenkori </w:t>
      </w:r>
      <w:r>
        <w:t xml:space="preserve">Roaming </w:t>
      </w:r>
      <w:r w:rsidRPr="00315FCC">
        <w:t>Referencia</w:t>
      </w:r>
      <w:r w:rsidR="00BE3365">
        <w:t>a</w:t>
      </w:r>
      <w:r w:rsidRPr="00315FCC">
        <w:t>jánlatát jelenti</w:t>
      </w:r>
      <w:r>
        <w:t>.</w:t>
      </w:r>
    </w:p>
    <w:p w14:paraId="74B467A2" w14:textId="77777777" w:rsidR="00F62091" w:rsidRDefault="00F62091" w:rsidP="00F62091">
      <w:pPr>
        <w:pStyle w:val="C"/>
        <w:spacing w:line="340" w:lineRule="exact"/>
        <w:ind w:left="0" w:firstLine="0"/>
        <w:rPr>
          <w:b/>
        </w:rPr>
      </w:pPr>
    </w:p>
    <w:p w14:paraId="034BEBED" w14:textId="0AE85754" w:rsidR="00D52C0E" w:rsidRDefault="00D52C0E" w:rsidP="00D077BA">
      <w:pPr>
        <w:pStyle w:val="C"/>
        <w:spacing w:line="340" w:lineRule="exact"/>
        <w:ind w:left="0" w:firstLine="0"/>
      </w:pPr>
    </w:p>
    <w:p w14:paraId="12A68BF0" w14:textId="77777777" w:rsidR="00F62091" w:rsidRPr="004526A7" w:rsidRDefault="00F62091" w:rsidP="004526A7">
      <w:pPr>
        <w:pStyle w:val="C"/>
        <w:spacing w:line="340" w:lineRule="exact"/>
        <w:ind w:left="0" w:firstLine="0"/>
        <w:rPr>
          <w:b/>
        </w:rPr>
      </w:pPr>
    </w:p>
    <w:p w14:paraId="1A532972" w14:textId="77777777" w:rsidR="009E221C" w:rsidRPr="00315FCC" w:rsidRDefault="009E221C" w:rsidP="00CE2290">
      <w:pPr>
        <w:pStyle w:val="C"/>
        <w:spacing w:line="340" w:lineRule="exact"/>
        <w:ind w:left="0" w:firstLine="0"/>
      </w:pPr>
      <w:r w:rsidRPr="00315FCC">
        <w:rPr>
          <w:b/>
        </w:rPr>
        <w:t>Partner:</w:t>
      </w:r>
      <w:r w:rsidRPr="00315FCC">
        <w:t xml:space="preserve"> </w:t>
      </w:r>
      <w:r w:rsidR="004A6BA4">
        <w:t>a)</w:t>
      </w:r>
      <w:r w:rsidR="004A6BA4" w:rsidRPr="004A6BA4">
        <w:t xml:space="preserve"> Közvetlen nagykereskedelmi barangolási hozzáférés esetén </w:t>
      </w:r>
      <w:r w:rsidR="004A6BA4">
        <w:t>a szerződésben részt vevő mobil szolgáltató vagy teljes virtuális mobil szolgáltató; b)</w:t>
      </w:r>
      <w:r w:rsidR="004A6BA4" w:rsidRPr="004A6BA4">
        <w:t xml:space="preserve"> Nagykereskedelmi viszonteladói barangolási hozzáférés </w:t>
      </w:r>
      <w:r w:rsidR="004A6BA4">
        <w:t xml:space="preserve">esetén </w:t>
      </w:r>
      <w:r w:rsidRPr="00315FCC">
        <w:t>a Magyar Telekom Hálózatá</w:t>
      </w:r>
      <w:r w:rsidR="00E21729">
        <w:t xml:space="preserve">n </w:t>
      </w:r>
      <w:proofErr w:type="spellStart"/>
      <w:r w:rsidR="00E21729">
        <w:t>host</w:t>
      </w:r>
      <w:proofErr w:type="spellEnd"/>
      <w:r w:rsidR="00E21729">
        <w:t xml:space="preserve">-olt </w:t>
      </w:r>
      <w:r w:rsidRPr="00315FCC">
        <w:t>jogosult Elektronikus Hírközlési Szolgáltatót jelenti.</w:t>
      </w:r>
    </w:p>
    <w:p w14:paraId="0369A7D3" w14:textId="77777777" w:rsidR="002532ED" w:rsidRDefault="002532ED" w:rsidP="00CE2290">
      <w:pPr>
        <w:pStyle w:val="C"/>
        <w:spacing w:line="340" w:lineRule="exact"/>
        <w:ind w:left="0" w:firstLine="0"/>
        <w:rPr>
          <w:b/>
        </w:rPr>
      </w:pPr>
    </w:p>
    <w:p w14:paraId="0757FFFB" w14:textId="594919D6" w:rsidR="00D52C0E" w:rsidRDefault="00D077BA" w:rsidP="00D52C0E">
      <w:pPr>
        <w:pStyle w:val="C"/>
        <w:spacing w:line="340" w:lineRule="exact"/>
        <w:ind w:left="0" w:firstLine="0"/>
      </w:pPr>
      <w:r>
        <w:rPr>
          <w:b/>
        </w:rPr>
        <w:t xml:space="preserve">Fél </w:t>
      </w:r>
      <w:r w:rsidR="00D52C0E">
        <w:rPr>
          <w:b/>
        </w:rPr>
        <w:t>k</w:t>
      </w:r>
      <w:r w:rsidR="00D52C0E" w:rsidRPr="00073673">
        <w:rPr>
          <w:b/>
        </w:rPr>
        <w:t>apcsolt vállalkozás</w:t>
      </w:r>
      <w:r w:rsidR="00D52C0E">
        <w:rPr>
          <w:b/>
        </w:rPr>
        <w:t>a</w:t>
      </w:r>
      <w:r w:rsidR="00D52C0E">
        <w:t xml:space="preserve">: </w:t>
      </w:r>
      <w:r>
        <w:t>a Fél</w:t>
      </w:r>
      <w:r w:rsidR="00D52C0E">
        <w:t xml:space="preserve"> kapcsolt vállalkozása bármely olyan más jogi személyiségű társaságot jelenti, melyet </w:t>
      </w:r>
      <w:r>
        <w:t>a Fél</w:t>
      </w:r>
      <w:r w:rsidR="00D52C0E">
        <w:t xml:space="preserve"> közvetlenül vagy közvetve irányítja, közvetlen vagy közvetett tulajdonlás útján </w:t>
      </w:r>
      <w:r>
        <w:t xml:space="preserve">a Felet </w:t>
      </w:r>
      <w:r w:rsidR="00D52C0E">
        <w:t xml:space="preserve">irányítja, vagy </w:t>
      </w:r>
      <w:r>
        <w:t xml:space="preserve">Fél </w:t>
      </w:r>
      <w:r w:rsidR="00D52C0E">
        <w:t>közvetlen vagy közvetett tulajdonlása vagy irányítási joga szerint irányítja, amíg ez az irányítási jog fennáll.</w:t>
      </w:r>
    </w:p>
    <w:p w14:paraId="5603E7BF" w14:textId="647113FC" w:rsidR="00D52C0E" w:rsidRDefault="00D52C0E" w:rsidP="00D52C0E">
      <w:pPr>
        <w:pStyle w:val="C"/>
        <w:spacing w:line="340" w:lineRule="exact"/>
        <w:ind w:left="0" w:firstLine="0"/>
      </w:pPr>
      <w:r>
        <w:t xml:space="preserve">Közvetlen vagy közvetett tulajdonlás vagy irányítási jog akkor áll fenn, ha 50%-ot meghaladó mértékű tőkehányad kerül birtoklásra vagy a döntéshozatalba 50%-ot meghaladó mértékben vesz részt a </w:t>
      </w:r>
      <w:r w:rsidR="00D077BA">
        <w:t xml:space="preserve">Fél </w:t>
      </w:r>
      <w:r>
        <w:t>vagy kapcsolt vállalkozása.</w:t>
      </w:r>
    </w:p>
    <w:p w14:paraId="6EDE60A0" w14:textId="77777777" w:rsidR="00D52C0E" w:rsidRDefault="00D52C0E" w:rsidP="00CE2290">
      <w:pPr>
        <w:pStyle w:val="C"/>
        <w:spacing w:line="340" w:lineRule="exact"/>
        <w:ind w:left="0" w:firstLine="0"/>
        <w:rPr>
          <w:b/>
        </w:rPr>
      </w:pPr>
    </w:p>
    <w:p w14:paraId="642DDCF3" w14:textId="0964248C" w:rsidR="009E221C" w:rsidRPr="006E2E3D" w:rsidRDefault="009E221C" w:rsidP="00CE2290">
      <w:pPr>
        <w:pStyle w:val="C"/>
        <w:spacing w:line="340" w:lineRule="exact"/>
        <w:ind w:left="0" w:firstLine="0"/>
      </w:pPr>
      <w:r w:rsidRPr="006E2E3D">
        <w:rPr>
          <w:b/>
        </w:rPr>
        <w:t>Próbavizsgálat</w:t>
      </w:r>
      <w:r>
        <w:rPr>
          <w:b/>
        </w:rPr>
        <w:t>:</w:t>
      </w:r>
      <w:r w:rsidRPr="006E2E3D">
        <w:t xml:space="preserve"> a </w:t>
      </w:r>
      <w:r w:rsidR="006C2D93">
        <w:t>p</w:t>
      </w:r>
      <w:r w:rsidR="006C2D93" w:rsidRPr="006E2E3D">
        <w:t xml:space="preserve">róbavizsgálati </w:t>
      </w:r>
      <w:r w:rsidR="006C2D93">
        <w:t>k</w:t>
      </w:r>
      <w:r w:rsidR="006C2D93" w:rsidRPr="006E2E3D">
        <w:t xml:space="preserve">özpontok </w:t>
      </w:r>
      <w:r w:rsidRPr="006E2E3D">
        <w:t>és a Partner kapcsolástechnikai berendezése együttműködésének ellenőrzésére szolgáló vizsgálatot jelenti, amelyre</w:t>
      </w:r>
      <w:r>
        <w:t xml:space="preserve"> </w:t>
      </w:r>
      <w:r w:rsidRPr="006E2E3D">
        <w:t>a) az első Összekapcsolást; vagy</w:t>
      </w:r>
      <w:r>
        <w:t xml:space="preserve"> </w:t>
      </w:r>
      <w:r w:rsidRPr="006E2E3D">
        <w:t>b) valamelyik Fél egy új – az Összekapcsolás jelzésrendszerét is érintő –</w:t>
      </w:r>
      <w:r>
        <w:t xml:space="preserve"> </w:t>
      </w:r>
      <w:r w:rsidRPr="006E2E3D">
        <w:t>i) hardver típusának üzembehelyezését; és/vagy</w:t>
      </w:r>
      <w:r>
        <w:t xml:space="preserve"> </w:t>
      </w:r>
      <w:r w:rsidRPr="006E2E3D">
        <w:t>ii) szoftveré</w:t>
      </w:r>
      <w:r>
        <w:t xml:space="preserve">nek (vagy szoftver verziójának) </w:t>
      </w:r>
      <w:r w:rsidRPr="006E2E3D">
        <w:t>üzembehelyezését;</w:t>
      </w:r>
      <w:r>
        <w:t xml:space="preserve"> </w:t>
      </w:r>
      <w:r w:rsidRPr="006E2E3D">
        <w:t>megelőzően van szükség.</w:t>
      </w:r>
    </w:p>
    <w:p w14:paraId="4E8235CF" w14:textId="77777777" w:rsidR="002532ED" w:rsidRDefault="002532ED" w:rsidP="00CE2290">
      <w:pPr>
        <w:pStyle w:val="C"/>
        <w:spacing w:line="340" w:lineRule="exact"/>
        <w:ind w:left="0" w:firstLine="0"/>
        <w:rPr>
          <w:b/>
        </w:rPr>
      </w:pPr>
    </w:p>
    <w:p w14:paraId="745736BD" w14:textId="77777777" w:rsidR="009E221C" w:rsidRPr="001407B5" w:rsidRDefault="009E221C" w:rsidP="00CE2290">
      <w:pPr>
        <w:pStyle w:val="C"/>
        <w:spacing w:line="340" w:lineRule="exact"/>
        <w:ind w:left="0" w:firstLine="0"/>
      </w:pPr>
      <w:r w:rsidRPr="001407B5">
        <w:rPr>
          <w:b/>
        </w:rPr>
        <w:t>Próbavizsgálati Jegyzőkönyv:</w:t>
      </w:r>
      <w:r w:rsidRPr="001407B5">
        <w:t xml:space="preserve"> azt a mindkét Fél által aláírt dokumentumot jelenti, amely bizonyítja a Próbavizsgálatok sikeres befejezését.</w:t>
      </w:r>
    </w:p>
    <w:p w14:paraId="747C791A" w14:textId="77777777" w:rsidR="002532ED" w:rsidRDefault="002532ED" w:rsidP="00CE2290">
      <w:pPr>
        <w:pStyle w:val="C"/>
        <w:spacing w:line="340" w:lineRule="exact"/>
        <w:ind w:left="0" w:firstLine="0"/>
        <w:rPr>
          <w:b/>
        </w:rPr>
      </w:pPr>
    </w:p>
    <w:p w14:paraId="663ECF8E" w14:textId="77777777" w:rsidR="00D52C0E" w:rsidRPr="00BF38E7" w:rsidRDefault="00D52C0E" w:rsidP="00D52C0E">
      <w:pPr>
        <w:pStyle w:val="C"/>
        <w:spacing w:line="340" w:lineRule="exact"/>
        <w:ind w:left="0" w:firstLine="0"/>
      </w:pPr>
      <w:r w:rsidRPr="00BF38E7">
        <w:rPr>
          <w:b/>
        </w:rPr>
        <w:lastRenderedPageBreak/>
        <w:t>RAP:</w:t>
      </w:r>
      <w:r w:rsidRPr="00BF38E7">
        <w:t xml:space="preserve"> </w:t>
      </w:r>
      <w:proofErr w:type="spellStart"/>
      <w:r w:rsidRPr="00BF38E7">
        <w:t>Returned</w:t>
      </w:r>
      <w:proofErr w:type="spellEnd"/>
      <w:r w:rsidRPr="00BF38E7">
        <w:t xml:space="preserve"> Account </w:t>
      </w:r>
      <w:proofErr w:type="spellStart"/>
      <w:r w:rsidRPr="00BF38E7">
        <w:t>Procedure</w:t>
      </w:r>
      <w:proofErr w:type="spellEnd"/>
      <w:r w:rsidRPr="00BF38E7">
        <w:t>, a TAP file-okban levő hibás rekordok kezelési folyamata, a GSMA Állandó Referencia Dokumentumaiban meghatározottak szerint.</w:t>
      </w:r>
    </w:p>
    <w:p w14:paraId="12AD7732" w14:textId="77777777" w:rsidR="00D52C0E" w:rsidRPr="0048326A" w:rsidRDefault="00D52C0E" w:rsidP="00D52C0E">
      <w:pPr>
        <w:pStyle w:val="C"/>
        <w:spacing w:line="340" w:lineRule="exact"/>
        <w:ind w:left="0" w:firstLine="0"/>
        <w:rPr>
          <w:b/>
        </w:rPr>
      </w:pPr>
    </w:p>
    <w:p w14:paraId="23C26F44" w14:textId="77777777" w:rsidR="00297C09" w:rsidRPr="00BE7010" w:rsidRDefault="00297C09" w:rsidP="00297C09">
      <w:pPr>
        <w:pStyle w:val="C"/>
        <w:spacing w:line="340" w:lineRule="exact"/>
        <w:ind w:left="0" w:firstLine="0"/>
        <w:rPr>
          <w:bCs/>
        </w:rPr>
      </w:pPr>
      <w:r>
        <w:rPr>
          <w:b/>
        </w:rPr>
        <w:t xml:space="preserve">Roaming Rendelet: </w:t>
      </w:r>
      <w:r w:rsidRPr="00BE7010">
        <w:rPr>
          <w:bCs/>
        </w:rPr>
        <w:t>az Európai Parlament és a Tanács (EU) 2022/612 rendelete (2022. április 6.) az Unión belüli nyilvános mobilhírközlő hálózatok közötti barangolásról (roaming)</w:t>
      </w:r>
    </w:p>
    <w:p w14:paraId="75333CB8" w14:textId="77777777" w:rsidR="00297C09" w:rsidRDefault="00297C09" w:rsidP="00D52C0E">
      <w:pPr>
        <w:pStyle w:val="C"/>
        <w:spacing w:line="340" w:lineRule="exact"/>
        <w:ind w:left="0" w:firstLine="0"/>
        <w:rPr>
          <w:b/>
        </w:rPr>
      </w:pPr>
    </w:p>
    <w:p w14:paraId="01D5C25F" w14:textId="223F1510" w:rsidR="00D52C0E" w:rsidRPr="00B06872" w:rsidDel="00C20B84" w:rsidRDefault="00D52C0E">
      <w:pPr>
        <w:pStyle w:val="C"/>
        <w:spacing w:line="340" w:lineRule="exact"/>
        <w:ind w:left="0" w:firstLine="0"/>
        <w:rPr>
          <w:b/>
        </w:rPr>
      </w:pPr>
    </w:p>
    <w:p w14:paraId="008E6E6A" w14:textId="77777777" w:rsidR="00D52C0E" w:rsidRDefault="00D52C0E" w:rsidP="00D52C0E">
      <w:pPr>
        <w:pStyle w:val="C"/>
        <w:spacing w:line="340" w:lineRule="exact"/>
        <w:ind w:left="0" w:firstLine="0"/>
        <w:rPr>
          <w:b/>
        </w:rPr>
      </w:pPr>
    </w:p>
    <w:p w14:paraId="732E78F4" w14:textId="77777777" w:rsidR="00D52C0E" w:rsidRPr="00B06872" w:rsidRDefault="00D52C0E" w:rsidP="00D52C0E">
      <w:pPr>
        <w:pStyle w:val="C"/>
        <w:spacing w:line="340" w:lineRule="exact"/>
        <w:ind w:left="0" w:firstLine="0"/>
        <w:rPr>
          <w:b/>
        </w:rPr>
      </w:pPr>
      <w:bookmarkStart w:id="1" w:name="_Hlk323637858"/>
      <w:r w:rsidRPr="00B06872">
        <w:rPr>
          <w:b/>
        </w:rPr>
        <w:t xml:space="preserve">TAP: </w:t>
      </w:r>
      <w:proofErr w:type="spellStart"/>
      <w:r w:rsidRPr="00B06872">
        <w:t>Transferred</w:t>
      </w:r>
      <w:proofErr w:type="spellEnd"/>
      <w:r w:rsidRPr="00B06872">
        <w:t xml:space="preserve"> Account </w:t>
      </w:r>
      <w:proofErr w:type="spellStart"/>
      <w:r w:rsidRPr="00B06872">
        <w:t>Procedure</w:t>
      </w:r>
      <w:proofErr w:type="spellEnd"/>
      <w:r w:rsidRPr="00B06872">
        <w:t>, az árazott rekordok cseréjének folyamata, a GSMA Állandó Referencia Dokument</w:t>
      </w:r>
      <w:r>
        <w:t>umaiban meghatározottak szerint.</w:t>
      </w:r>
    </w:p>
    <w:bookmarkEnd w:id="1"/>
    <w:p w14:paraId="58E30C10" w14:textId="77777777" w:rsidR="00D52C0E" w:rsidRDefault="00D52C0E" w:rsidP="00D52C0E">
      <w:pPr>
        <w:pStyle w:val="C"/>
        <w:spacing w:line="340" w:lineRule="exact"/>
        <w:ind w:left="0" w:firstLine="0"/>
        <w:rPr>
          <w:b/>
        </w:rPr>
      </w:pPr>
    </w:p>
    <w:p w14:paraId="1952B056" w14:textId="77777777" w:rsidR="00D52C0E" w:rsidRPr="001407B5" w:rsidRDefault="00D52C0E" w:rsidP="00D52C0E">
      <w:pPr>
        <w:pStyle w:val="C"/>
        <w:spacing w:line="340" w:lineRule="exact"/>
        <w:ind w:left="0" w:firstLine="0"/>
      </w:pPr>
      <w:r w:rsidRPr="001407B5">
        <w:rPr>
          <w:b/>
        </w:rPr>
        <w:t>Üzembehelyezési Jegyzőkönyv:</w:t>
      </w:r>
      <w:r w:rsidRPr="001407B5">
        <w:t xml:space="preserve"> azt a dokumentu</w:t>
      </w:r>
      <w:r>
        <w:t>mot jelenti, amely bizonyítja az ü</w:t>
      </w:r>
      <w:r w:rsidRPr="001407B5">
        <w:t xml:space="preserve">zembehelyezési </w:t>
      </w:r>
      <w:r>
        <w:t>t</w:t>
      </w:r>
      <w:r w:rsidRPr="001407B5">
        <w:t>esztek sikeres befejezését.</w:t>
      </w:r>
    </w:p>
    <w:p w14:paraId="144383A6" w14:textId="77777777" w:rsidR="00D52C0E" w:rsidRDefault="00D52C0E" w:rsidP="00D52C0E">
      <w:pPr>
        <w:pStyle w:val="C"/>
        <w:spacing w:line="340" w:lineRule="exact"/>
        <w:ind w:left="0" w:firstLine="0"/>
        <w:rPr>
          <w:b/>
        </w:rPr>
      </w:pPr>
    </w:p>
    <w:p w14:paraId="7D1E37D1" w14:textId="77777777" w:rsidR="00D52C0E" w:rsidRPr="006E2E3D" w:rsidRDefault="00D52C0E" w:rsidP="00D52C0E">
      <w:pPr>
        <w:pStyle w:val="C"/>
        <w:spacing w:line="340" w:lineRule="exact"/>
        <w:ind w:left="0" w:firstLine="0"/>
      </w:pPr>
      <w:r w:rsidRPr="006E2E3D">
        <w:rPr>
          <w:b/>
        </w:rPr>
        <w:t>Üzembehelyezési Vizsgálat:</w:t>
      </w:r>
      <w:r>
        <w:t xml:space="preserve"> a Magyar Telekom </w:t>
      </w:r>
      <w:r w:rsidRPr="006E2E3D">
        <w:t xml:space="preserve">és Partner </w:t>
      </w:r>
      <w:r>
        <w:t xml:space="preserve">barangolási hozzáférési szolgáltatásának </w:t>
      </w:r>
      <w:r w:rsidRPr="006E2E3D">
        <w:t>együttműködésének ellenőrzését jelenti.</w:t>
      </w:r>
    </w:p>
    <w:p w14:paraId="39E6D4CA" w14:textId="77777777" w:rsidR="00BA19EA" w:rsidRDefault="00BA19EA" w:rsidP="00CE2290">
      <w:pPr>
        <w:pStyle w:val="C"/>
        <w:spacing w:line="340" w:lineRule="exact"/>
        <w:ind w:left="0" w:firstLine="0"/>
        <w:rPr>
          <w:b/>
        </w:rPr>
      </w:pPr>
    </w:p>
    <w:p w14:paraId="677E162F" w14:textId="77777777" w:rsidR="00D52C0E" w:rsidRDefault="00D52C0E" w:rsidP="00D52C0E">
      <w:pPr>
        <w:pStyle w:val="C"/>
        <w:spacing w:line="340" w:lineRule="exact"/>
        <w:ind w:left="0" w:firstLine="0"/>
      </w:pPr>
      <w:r w:rsidRPr="001D6F06">
        <w:rPr>
          <w:b/>
        </w:rPr>
        <w:t>Session</w:t>
      </w:r>
      <w:r>
        <w:t>: az az idő, ami egy PDP aktiválás és deaktiválás között eltelik.</w:t>
      </w:r>
    </w:p>
    <w:p w14:paraId="6B25E9E1" w14:textId="77777777" w:rsidR="00D52C0E" w:rsidRDefault="00D52C0E" w:rsidP="00CE2290">
      <w:pPr>
        <w:pStyle w:val="C"/>
        <w:spacing w:line="340" w:lineRule="exact"/>
        <w:ind w:left="0" w:firstLine="0"/>
        <w:rPr>
          <w:b/>
        </w:rPr>
      </w:pPr>
    </w:p>
    <w:p w14:paraId="288A50A7" w14:textId="77777777" w:rsidR="009E221C" w:rsidRPr="00D42AEF" w:rsidRDefault="009E221C" w:rsidP="00CE2290">
      <w:pPr>
        <w:pStyle w:val="C"/>
        <w:spacing w:line="340" w:lineRule="exact"/>
        <w:ind w:left="0" w:firstLine="0"/>
      </w:pPr>
      <w:r w:rsidRPr="00D42AEF">
        <w:rPr>
          <w:b/>
        </w:rPr>
        <w:t>Sikeres Hívás:</w:t>
      </w:r>
      <w:r w:rsidRPr="00D42AEF">
        <w:t xml:space="preserve"> azt jelenti, hogy a Hívás felépítése eljut az ISUP jelzésrendszer ’</w:t>
      </w:r>
      <w:proofErr w:type="spellStart"/>
      <w:r w:rsidRPr="00D42AEF">
        <w:t>Answer</w:t>
      </w:r>
      <w:proofErr w:type="spellEnd"/>
      <w:r w:rsidRPr="00D42AEF">
        <w:t xml:space="preserve"> </w:t>
      </w:r>
      <w:proofErr w:type="spellStart"/>
      <w:r w:rsidRPr="00D42AEF">
        <w:t>Message</w:t>
      </w:r>
      <w:proofErr w:type="spellEnd"/>
      <w:r w:rsidRPr="00D42AEF">
        <w:t>’ vagy ’</w:t>
      </w:r>
      <w:proofErr w:type="spellStart"/>
      <w:r w:rsidRPr="00D42AEF">
        <w:t>Connect</w:t>
      </w:r>
      <w:proofErr w:type="spellEnd"/>
      <w:r w:rsidRPr="00D42AEF">
        <w:t>’ üzenetéig.</w:t>
      </w:r>
    </w:p>
    <w:p w14:paraId="5D44F081" w14:textId="77777777" w:rsidR="002532ED" w:rsidRDefault="002532ED" w:rsidP="00CE2290">
      <w:pPr>
        <w:pStyle w:val="C"/>
        <w:spacing w:line="340" w:lineRule="exact"/>
        <w:ind w:left="0" w:firstLine="0"/>
        <w:rPr>
          <w:b/>
        </w:rPr>
      </w:pPr>
    </w:p>
    <w:p w14:paraId="38CB7CE6" w14:textId="77777777" w:rsidR="009E221C" w:rsidRPr="00D42AEF" w:rsidRDefault="009E221C" w:rsidP="00CE2290">
      <w:pPr>
        <w:pStyle w:val="C"/>
        <w:spacing w:line="340" w:lineRule="exact"/>
        <w:ind w:left="0" w:firstLine="0"/>
      </w:pPr>
      <w:r w:rsidRPr="00D42AEF">
        <w:rPr>
          <w:b/>
        </w:rPr>
        <w:t>Sikeres Hívásfelépítés:</w:t>
      </w:r>
      <w:r w:rsidRPr="00D42AEF">
        <w:t xml:space="preserve"> azt jelenti, hogy a Hívást kezdeményező és a hívott Előfizetőkhöz tartozó telefonközpontok közti jelzéskapcsolat ill. kommunikáció eredményeként az előfizetői </w:t>
      </w:r>
      <w:r w:rsidR="00B043D1">
        <w:t>k</w:t>
      </w:r>
      <w:r w:rsidRPr="00D42AEF">
        <w:t xml:space="preserve">apcsolathoz szükséges </w:t>
      </w:r>
      <w:r w:rsidR="00B043D1">
        <w:t xml:space="preserve">összeköttetés </w:t>
      </w:r>
      <w:r w:rsidRPr="00D42AEF">
        <w:t>rendelkezésre áll, és a hívott Előfizető állapotára vonatkozó jelzést a hívó Előfizetőhöz tartozó telefonközpont nyugtázta.</w:t>
      </w:r>
    </w:p>
    <w:p w14:paraId="71835CF1" w14:textId="77777777" w:rsidR="00014204" w:rsidRDefault="00014204" w:rsidP="00CE2290">
      <w:pPr>
        <w:pStyle w:val="C"/>
        <w:spacing w:line="340" w:lineRule="exact"/>
        <w:ind w:left="0" w:firstLine="0"/>
        <w:rPr>
          <w:b/>
        </w:rPr>
      </w:pPr>
    </w:p>
    <w:p w14:paraId="57917E23" w14:textId="00737795" w:rsidR="00D52C0E" w:rsidRDefault="00D52C0E" w:rsidP="00D52C0E">
      <w:pPr>
        <w:pStyle w:val="C"/>
        <w:spacing w:line="340" w:lineRule="exact"/>
        <w:ind w:left="0" w:firstLine="0"/>
      </w:pPr>
      <w:r>
        <w:rPr>
          <w:b/>
        </w:rPr>
        <w:t>Szerződés</w:t>
      </w:r>
      <w:r>
        <w:t>: Jelen MT RRO és annak mellékletei</w:t>
      </w:r>
      <w:r w:rsidR="006C2D93">
        <w:t xml:space="preserve"> alapján megkötött közvetlen nagykereskedelmi barangolási hozzáférésre vagy nagykereskedelmi viszonteladói barangolási hozzáférésre vonatkozó szerződés</w:t>
      </w:r>
      <w:r>
        <w:t>.</w:t>
      </w:r>
    </w:p>
    <w:p w14:paraId="59D00612" w14:textId="2B652D55" w:rsidR="00D52C0E" w:rsidRDefault="00D52C0E" w:rsidP="006C2D93">
      <w:pPr>
        <w:pStyle w:val="C"/>
        <w:spacing w:line="340" w:lineRule="exact"/>
        <w:ind w:left="0" w:firstLine="0"/>
      </w:pPr>
    </w:p>
    <w:p w14:paraId="1C85B62F" w14:textId="77777777" w:rsidR="00D52C0E" w:rsidRDefault="00D52C0E" w:rsidP="00CE2290">
      <w:pPr>
        <w:pStyle w:val="C"/>
        <w:spacing w:line="340" w:lineRule="exact"/>
        <w:ind w:left="0" w:firstLine="0"/>
        <w:rPr>
          <w:b/>
        </w:rPr>
      </w:pPr>
    </w:p>
    <w:p w14:paraId="50AAF427" w14:textId="77777777" w:rsidR="009E221C" w:rsidRPr="006E2E3D" w:rsidRDefault="009E221C" w:rsidP="00CE2290">
      <w:pPr>
        <w:pStyle w:val="C"/>
        <w:spacing w:line="340" w:lineRule="exact"/>
        <w:ind w:left="0" w:firstLine="0"/>
      </w:pPr>
      <w:r w:rsidRPr="006E2E3D">
        <w:rPr>
          <w:b/>
        </w:rPr>
        <w:t>Szolgáltatás Kiesési Idő:</w:t>
      </w:r>
      <w:r w:rsidRPr="006E2E3D">
        <w:t xml:space="preserve"> a hiba észlelésétől (bejelentésétől) a szolgáltatás helyreállításáig eltelt időtartamot jelenti.</w:t>
      </w:r>
    </w:p>
    <w:p w14:paraId="49655628" w14:textId="77777777" w:rsidR="00523715" w:rsidRDefault="00523715" w:rsidP="00CE2290">
      <w:pPr>
        <w:pStyle w:val="C"/>
        <w:spacing w:line="340" w:lineRule="exact"/>
        <w:ind w:left="0" w:firstLine="0"/>
        <w:rPr>
          <w:b/>
        </w:rPr>
      </w:pPr>
    </w:p>
    <w:p w14:paraId="4FA71C24" w14:textId="3E930C96" w:rsidR="009E221C" w:rsidRPr="0047210A" w:rsidRDefault="009E221C" w:rsidP="00CE2290">
      <w:pPr>
        <w:pStyle w:val="C"/>
        <w:spacing w:line="340" w:lineRule="exact"/>
        <w:ind w:left="0" w:firstLine="0"/>
      </w:pPr>
      <w:r w:rsidRPr="0047210A">
        <w:rPr>
          <w:b/>
        </w:rPr>
        <w:t>Szolgáltatás:</w:t>
      </w:r>
      <w:r w:rsidRPr="0047210A">
        <w:t xml:space="preserve"> az </w:t>
      </w:r>
      <w:r w:rsidR="00440303">
        <w:t xml:space="preserve">MT RRO </w:t>
      </w:r>
      <w:r w:rsidRPr="0047210A">
        <w:t xml:space="preserve">Szerződés keretében az egyik Fél által a másik Féltől </w:t>
      </w:r>
      <w:proofErr w:type="spellStart"/>
      <w:r w:rsidRPr="0047210A">
        <w:t>igénybevett</w:t>
      </w:r>
      <w:proofErr w:type="spellEnd"/>
      <w:r w:rsidRPr="0047210A">
        <w:t xml:space="preserve"> – az alábbi kategóriák valamelyikébe sorolható – szolgáltatást jelent:</w:t>
      </w:r>
      <w:r>
        <w:t xml:space="preserve"> </w:t>
      </w:r>
      <w:r w:rsidRPr="0047210A">
        <w:t>a) </w:t>
      </w:r>
      <w:r w:rsidR="006C2D93">
        <w:t xml:space="preserve">szabályozott </w:t>
      </w:r>
      <w:proofErr w:type="spellStart"/>
      <w:r w:rsidR="000767E3">
        <w:t>barangolásos</w:t>
      </w:r>
      <w:proofErr w:type="spellEnd"/>
      <w:r w:rsidR="000767E3">
        <w:t xml:space="preserve"> </w:t>
      </w:r>
      <w:r w:rsidR="00440303">
        <w:t>hangszolgáltatás</w:t>
      </w:r>
      <w:r>
        <w:t xml:space="preserve"> </w:t>
      </w:r>
      <w:r w:rsidR="00440303">
        <w:t xml:space="preserve">b) </w:t>
      </w:r>
      <w:r w:rsidR="006C2D93">
        <w:t xml:space="preserve">szabályozott </w:t>
      </w:r>
      <w:proofErr w:type="spellStart"/>
      <w:r w:rsidR="000767E3">
        <w:t>barangolásos</w:t>
      </w:r>
      <w:proofErr w:type="spellEnd"/>
      <w:r w:rsidR="000767E3">
        <w:t xml:space="preserve"> </w:t>
      </w:r>
      <w:r w:rsidR="00440303">
        <w:t>SMS szolgá</w:t>
      </w:r>
      <w:r w:rsidR="000767E3">
        <w:t>l</w:t>
      </w:r>
      <w:r w:rsidR="00440303">
        <w:t xml:space="preserve">tatás c) </w:t>
      </w:r>
      <w:r w:rsidR="006C2D93">
        <w:t xml:space="preserve">szabályozott </w:t>
      </w:r>
      <w:proofErr w:type="spellStart"/>
      <w:r w:rsidR="000767E3">
        <w:t>barangolásos</w:t>
      </w:r>
      <w:proofErr w:type="spellEnd"/>
      <w:r w:rsidR="000767E3">
        <w:t xml:space="preserve"> </w:t>
      </w:r>
      <w:r w:rsidR="00440303">
        <w:t>adat</w:t>
      </w:r>
      <w:r w:rsidR="006C2D93">
        <w:t xml:space="preserve">átviteli </w:t>
      </w:r>
      <w:r w:rsidR="00440303">
        <w:t>szolgá</w:t>
      </w:r>
      <w:r w:rsidR="00014204">
        <w:t>l</w:t>
      </w:r>
      <w:r w:rsidR="00440303">
        <w:t>tatás d) tesztek.</w:t>
      </w:r>
    </w:p>
    <w:p w14:paraId="58EF6239" w14:textId="77777777" w:rsidR="002532ED" w:rsidRDefault="002532ED" w:rsidP="00CE2290">
      <w:pPr>
        <w:pStyle w:val="C"/>
        <w:spacing w:line="340" w:lineRule="exact"/>
        <w:ind w:left="0" w:firstLine="0"/>
        <w:rPr>
          <w:b/>
        </w:rPr>
      </w:pPr>
    </w:p>
    <w:p w14:paraId="72981A0B" w14:textId="11B9A233" w:rsidR="009E221C" w:rsidRDefault="009E221C" w:rsidP="00CE2290">
      <w:pPr>
        <w:pStyle w:val="C"/>
        <w:spacing w:line="340" w:lineRule="exact"/>
        <w:ind w:left="0" w:firstLine="0"/>
      </w:pPr>
      <w:r w:rsidRPr="001407B5">
        <w:rPr>
          <w:b/>
        </w:rPr>
        <w:lastRenderedPageBreak/>
        <w:t>Szolgáltatási Díj:</w:t>
      </w:r>
      <w:r>
        <w:t xml:space="preserve"> egy olyan díjat jelent, amelyet a </w:t>
      </w:r>
      <w:r w:rsidR="006C2D93">
        <w:t xml:space="preserve">Partner </w:t>
      </w:r>
      <w:r>
        <w:t xml:space="preserve">az adott hónapban köteles fizetni a </w:t>
      </w:r>
      <w:r w:rsidR="006C2D93">
        <w:t>Magyar Telekomnak</w:t>
      </w:r>
      <w:r>
        <w:t>, a</w:t>
      </w:r>
      <w:r w:rsidR="000767E3">
        <w:t xml:space="preserve"> Partner </w:t>
      </w:r>
      <w:r>
        <w:t>által tárgyhónapban felmerült, vagy a tárgyhónapot megelőzően felmerült, de még ki nem számlázott Szolgáltatásokra vonatkozó Forgalmi Díjak, Egyszeri Díjak és Havi Díjak összegeként (beleértve a fizetendő ÁFA összegét is).</w:t>
      </w:r>
    </w:p>
    <w:p w14:paraId="502C0311" w14:textId="77777777" w:rsidR="00BF2E28" w:rsidRDefault="00BF2E28" w:rsidP="00CE2290">
      <w:pPr>
        <w:pStyle w:val="C"/>
        <w:spacing w:line="340" w:lineRule="exact"/>
        <w:ind w:left="0" w:firstLine="0"/>
        <w:rPr>
          <w:b/>
        </w:rPr>
      </w:pPr>
    </w:p>
    <w:p w14:paraId="437E92BE" w14:textId="77777777" w:rsidR="009E221C" w:rsidRPr="001407B5" w:rsidRDefault="009E221C" w:rsidP="00CE2290">
      <w:pPr>
        <w:pStyle w:val="C"/>
        <w:spacing w:line="340" w:lineRule="exact"/>
        <w:ind w:left="0" w:firstLine="0"/>
      </w:pPr>
      <w:r w:rsidRPr="001407B5">
        <w:rPr>
          <w:b/>
        </w:rPr>
        <w:t>Szolgáltatási Üzembehelyezési Jegyzőkönyv:</w:t>
      </w:r>
      <w:r w:rsidRPr="001407B5">
        <w:t xml:space="preserve"> azt a dokumentumot jelenti, amely bizonyítja a Szolgáltatási Üzembehelyezési Tesztek sikeres befejezését.</w:t>
      </w:r>
    </w:p>
    <w:p w14:paraId="69D06E9E" w14:textId="77777777" w:rsidR="0082726C" w:rsidRDefault="0082726C" w:rsidP="00CE2290">
      <w:pPr>
        <w:pStyle w:val="C"/>
        <w:spacing w:line="340" w:lineRule="exact"/>
        <w:ind w:left="0" w:firstLine="0"/>
        <w:rPr>
          <w:b/>
        </w:rPr>
      </w:pPr>
    </w:p>
    <w:p w14:paraId="56E58E3E" w14:textId="5408ECE4" w:rsidR="009E221C" w:rsidRPr="006E2E3D" w:rsidRDefault="009E221C" w:rsidP="00CE2290">
      <w:pPr>
        <w:pStyle w:val="C"/>
        <w:spacing w:line="340" w:lineRule="exact"/>
        <w:ind w:left="0" w:firstLine="0"/>
      </w:pPr>
      <w:r w:rsidRPr="006E2E3D">
        <w:rPr>
          <w:b/>
        </w:rPr>
        <w:t>Üzemfenntartási Munka:</w:t>
      </w:r>
      <w:r w:rsidRPr="006E2E3D">
        <w:t xml:space="preserve"> előre eltervezett és a másik Féllel előre egyeztetett – karbantartás, felújítás, szoftvercsere, bővítés vagy más ehhez kapcsolódó tevékenységek elvégzése céljából</w:t>
      </w:r>
      <w:r w:rsidR="00E450F7">
        <w:t xml:space="preserve"> végzett munkát jelent, amely alatt a Szolgáltatás nyújtása szünetel</w:t>
      </w:r>
      <w:r w:rsidRPr="006E2E3D">
        <w:t>.</w:t>
      </w:r>
    </w:p>
    <w:p w14:paraId="3F8EC381" w14:textId="77777777" w:rsidR="002532ED" w:rsidRDefault="002532ED" w:rsidP="00CE2290">
      <w:pPr>
        <w:pStyle w:val="C"/>
        <w:spacing w:line="340" w:lineRule="exact"/>
        <w:ind w:left="0" w:firstLine="0"/>
        <w:rPr>
          <w:b/>
        </w:rPr>
      </w:pPr>
    </w:p>
    <w:p w14:paraId="62EF03AD" w14:textId="77777777" w:rsidR="009E221C" w:rsidRPr="006E2E3D" w:rsidRDefault="009E221C" w:rsidP="00CE2290">
      <w:pPr>
        <w:pStyle w:val="C"/>
        <w:spacing w:line="340" w:lineRule="exact"/>
        <w:ind w:left="0" w:firstLine="0"/>
      </w:pPr>
      <w:r w:rsidRPr="006E2E3D">
        <w:rPr>
          <w:b/>
        </w:rPr>
        <w:t xml:space="preserve">Zavar: </w:t>
      </w:r>
      <w:r w:rsidRPr="006E2E3D">
        <w:t>a megkövetelt működéstől történő bármely érdemi eltérés (ITU-T E800 5301).</w:t>
      </w:r>
    </w:p>
    <w:p w14:paraId="066CFF8F" w14:textId="77777777" w:rsidR="00A26AD4" w:rsidRPr="002A7B4B" w:rsidRDefault="00D52C0E" w:rsidP="00CE2290">
      <w:pPr>
        <w:pStyle w:val="C"/>
        <w:spacing w:line="340" w:lineRule="exact"/>
        <w:ind w:left="0" w:firstLine="0"/>
        <w:rPr>
          <w:b/>
          <w:bCs/>
        </w:rPr>
      </w:pPr>
      <w:bookmarkStart w:id="2" w:name="_Toc117320699"/>
      <w:r>
        <w:rPr>
          <w:b/>
        </w:rPr>
        <w:br w:type="column"/>
      </w:r>
    </w:p>
    <w:bookmarkEnd w:id="2"/>
    <w:p w14:paraId="1E94C028" w14:textId="77777777" w:rsidR="00077848" w:rsidRPr="00470CBD" w:rsidRDefault="00904108" w:rsidP="00D52C0E">
      <w:pPr>
        <w:pStyle w:val="C"/>
        <w:spacing w:line="340" w:lineRule="exact"/>
        <w:ind w:left="0" w:firstLine="0"/>
        <w:jc w:val="center"/>
        <w:rPr>
          <w:b/>
          <w:bCs/>
        </w:rPr>
      </w:pPr>
      <w:r w:rsidRPr="00470CBD">
        <w:rPr>
          <w:b/>
          <w:bCs/>
        </w:rPr>
        <w:t>Alkalmazott rövidítések:</w:t>
      </w:r>
    </w:p>
    <w:p w14:paraId="4B9C82A4" w14:textId="77777777" w:rsidR="00904108" w:rsidRPr="00904108" w:rsidRDefault="00904108" w:rsidP="00CE2290">
      <w:pPr>
        <w:pStyle w:val="C"/>
        <w:spacing w:line="340" w:lineRule="exact"/>
        <w:ind w:left="0" w:firstLine="0"/>
        <w:rPr>
          <w:b/>
        </w:rPr>
      </w:pPr>
    </w:p>
    <w:p w14:paraId="6A4D18DE" w14:textId="55B19755" w:rsidR="001225E0" w:rsidRPr="00470CBD" w:rsidRDefault="001225E0" w:rsidP="00904108">
      <w:pPr>
        <w:pStyle w:val="C"/>
        <w:spacing w:line="340" w:lineRule="exact"/>
        <w:ind w:left="0" w:firstLine="0"/>
        <w:rPr>
          <w:bCs/>
        </w:rPr>
      </w:pPr>
      <w:proofErr w:type="spellStart"/>
      <w:r>
        <w:rPr>
          <w:b/>
        </w:rPr>
        <w:t>Eht</w:t>
      </w:r>
      <w:proofErr w:type="spellEnd"/>
      <w:r>
        <w:rPr>
          <w:b/>
        </w:rPr>
        <w:t>.:</w:t>
      </w:r>
      <w:r w:rsidR="002A7B4B">
        <w:rPr>
          <w:bCs/>
        </w:rPr>
        <w:t xml:space="preserve"> az elektronikus hírközlésről szóló 2003. évi C. törvény</w:t>
      </w:r>
    </w:p>
    <w:p w14:paraId="6E635E2B" w14:textId="77777777" w:rsidR="00904108" w:rsidRPr="00904108" w:rsidRDefault="00904108" w:rsidP="00904108">
      <w:pPr>
        <w:pStyle w:val="C"/>
        <w:spacing w:line="340" w:lineRule="exact"/>
        <w:ind w:left="0" w:firstLine="0"/>
        <w:rPr>
          <w:b/>
        </w:rPr>
      </w:pPr>
      <w:r w:rsidRPr="00904108">
        <w:rPr>
          <w:b/>
        </w:rPr>
        <w:t>OMC:</w:t>
      </w:r>
      <w:r w:rsidRPr="00904108">
        <w:t xml:space="preserve"> </w:t>
      </w:r>
      <w:proofErr w:type="spellStart"/>
      <w:r>
        <w:t>Operation</w:t>
      </w:r>
      <w:proofErr w:type="spellEnd"/>
      <w:r>
        <w:t xml:space="preserve"> &amp; </w:t>
      </w:r>
      <w:proofErr w:type="spellStart"/>
      <w:r>
        <w:t>Maintenance</w:t>
      </w:r>
      <w:proofErr w:type="spellEnd"/>
      <w:r>
        <w:t xml:space="preserve"> Center</w:t>
      </w:r>
    </w:p>
    <w:p w14:paraId="752092A7" w14:textId="77777777" w:rsidR="00904108" w:rsidRPr="00904108" w:rsidRDefault="00904108" w:rsidP="00904108">
      <w:pPr>
        <w:pStyle w:val="C"/>
        <w:spacing w:line="340" w:lineRule="exact"/>
        <w:ind w:left="0" w:firstLine="0"/>
        <w:rPr>
          <w:b/>
        </w:rPr>
      </w:pPr>
      <w:r w:rsidRPr="00904108">
        <w:rPr>
          <w:b/>
        </w:rPr>
        <w:t>NMC:</w:t>
      </w:r>
      <w:r w:rsidRPr="00904108">
        <w:t xml:space="preserve"> </w:t>
      </w:r>
      <w:r>
        <w:t>Network Management Center</w:t>
      </w:r>
    </w:p>
    <w:p w14:paraId="7DA6F465" w14:textId="77777777" w:rsidR="00904108" w:rsidRPr="00904108" w:rsidRDefault="00904108" w:rsidP="00904108">
      <w:pPr>
        <w:pStyle w:val="C"/>
        <w:spacing w:line="340" w:lineRule="exact"/>
        <w:ind w:left="0" w:firstLine="0"/>
        <w:rPr>
          <w:b/>
        </w:rPr>
      </w:pPr>
      <w:r w:rsidRPr="00904108">
        <w:rPr>
          <w:b/>
        </w:rPr>
        <w:t>NO &amp; CN:</w:t>
      </w:r>
      <w:r w:rsidRPr="00904108">
        <w:t xml:space="preserve"> Network </w:t>
      </w:r>
      <w:proofErr w:type="spellStart"/>
      <w:r w:rsidRPr="00904108">
        <w:t>Operation</w:t>
      </w:r>
      <w:proofErr w:type="spellEnd"/>
      <w:r w:rsidRPr="00904108">
        <w:t xml:space="preserve"> &amp; </w:t>
      </w:r>
      <w:proofErr w:type="spellStart"/>
      <w:r w:rsidRPr="00904108">
        <w:t>Core</w:t>
      </w:r>
      <w:proofErr w:type="spellEnd"/>
      <w:r w:rsidRPr="00904108">
        <w:t xml:space="preserve"> Network</w:t>
      </w:r>
    </w:p>
    <w:p w14:paraId="08FABDE8" w14:textId="77777777" w:rsidR="00904108" w:rsidRPr="00904108" w:rsidRDefault="00904108" w:rsidP="00904108">
      <w:pPr>
        <w:pStyle w:val="C"/>
        <w:spacing w:line="340" w:lineRule="exact"/>
        <w:ind w:left="0" w:firstLine="0"/>
        <w:rPr>
          <w:b/>
        </w:rPr>
      </w:pPr>
      <w:r w:rsidRPr="00904108">
        <w:rPr>
          <w:b/>
        </w:rPr>
        <w:t>NOD:</w:t>
      </w:r>
      <w:r w:rsidRPr="00904108">
        <w:t xml:space="preserve"> Network Operations </w:t>
      </w:r>
      <w:proofErr w:type="spellStart"/>
      <w:r w:rsidRPr="00904108">
        <w:t>Department</w:t>
      </w:r>
      <w:proofErr w:type="spellEnd"/>
    </w:p>
    <w:p w14:paraId="16542076" w14:textId="77777777" w:rsidR="00904108" w:rsidRPr="00904108" w:rsidRDefault="00904108" w:rsidP="00904108">
      <w:pPr>
        <w:pStyle w:val="C"/>
        <w:spacing w:line="340" w:lineRule="exact"/>
        <w:ind w:left="0" w:firstLine="0"/>
        <w:rPr>
          <w:b/>
        </w:rPr>
      </w:pPr>
      <w:r w:rsidRPr="00904108">
        <w:rPr>
          <w:b/>
        </w:rPr>
        <w:t xml:space="preserve">NOS: </w:t>
      </w:r>
      <w:r w:rsidRPr="00904108">
        <w:t xml:space="preserve">Network Operations </w:t>
      </w:r>
      <w:proofErr w:type="spellStart"/>
      <w:r w:rsidRPr="00904108">
        <w:t>Section</w:t>
      </w:r>
      <w:proofErr w:type="spellEnd"/>
    </w:p>
    <w:p w14:paraId="346E04AB" w14:textId="77777777" w:rsidR="00904108" w:rsidRPr="00904108" w:rsidRDefault="00904108" w:rsidP="00904108">
      <w:pPr>
        <w:pStyle w:val="C"/>
        <w:spacing w:line="340" w:lineRule="exact"/>
        <w:ind w:left="0" w:firstLine="0"/>
        <w:rPr>
          <w:b/>
        </w:rPr>
      </w:pPr>
      <w:r w:rsidRPr="00904108">
        <w:rPr>
          <w:b/>
        </w:rPr>
        <w:t xml:space="preserve">O&amp;M: </w:t>
      </w:r>
      <w:proofErr w:type="spellStart"/>
      <w:r w:rsidRPr="00904108">
        <w:t>Operation</w:t>
      </w:r>
      <w:proofErr w:type="spellEnd"/>
      <w:r w:rsidRPr="00904108">
        <w:t xml:space="preserve"> &amp; </w:t>
      </w:r>
      <w:proofErr w:type="spellStart"/>
      <w:r w:rsidRPr="00904108">
        <w:t>Maintenance</w:t>
      </w:r>
      <w:proofErr w:type="spellEnd"/>
      <w:r w:rsidRPr="00904108">
        <w:t xml:space="preserve"> </w:t>
      </w:r>
      <w:proofErr w:type="spellStart"/>
      <w:r w:rsidRPr="00904108">
        <w:t>Department</w:t>
      </w:r>
      <w:proofErr w:type="spellEnd"/>
    </w:p>
    <w:p w14:paraId="7BB5D7A1" w14:textId="77777777" w:rsidR="00904108" w:rsidRPr="00904108" w:rsidRDefault="00904108" w:rsidP="00904108">
      <w:pPr>
        <w:pStyle w:val="C"/>
        <w:spacing w:line="340" w:lineRule="exact"/>
        <w:ind w:left="0" w:firstLine="0"/>
        <w:rPr>
          <w:b/>
        </w:rPr>
      </w:pPr>
      <w:r w:rsidRPr="00904108">
        <w:rPr>
          <w:b/>
        </w:rPr>
        <w:t xml:space="preserve">NOC: </w:t>
      </w:r>
      <w:r w:rsidRPr="00904108">
        <w:t>Network Operations Center</w:t>
      </w:r>
    </w:p>
    <w:p w14:paraId="0A1E2E95" w14:textId="77777777" w:rsidR="00136C8C" w:rsidRDefault="00904108" w:rsidP="00CE2290">
      <w:pPr>
        <w:pStyle w:val="C"/>
        <w:spacing w:line="340" w:lineRule="exact"/>
        <w:ind w:left="0" w:firstLine="0"/>
      </w:pPr>
      <w:r w:rsidRPr="00904108">
        <w:rPr>
          <w:b/>
        </w:rPr>
        <w:t xml:space="preserve">SMC: </w:t>
      </w:r>
      <w:r w:rsidRPr="00904108">
        <w:t>Service Management Center</w:t>
      </w:r>
    </w:p>
    <w:sectPr w:rsidR="00136C8C">
      <w:headerReference w:type="default" r:id="rId11"/>
      <w:footerReference w:type="default" r:id="rId12"/>
      <w:footerReference w:type="first" r:id="rId13"/>
      <w:pgSz w:w="11907" w:h="16840" w:code="9"/>
      <w:pgMar w:top="1524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50935" w14:textId="77777777" w:rsidR="008B5C20" w:rsidRDefault="008B5C20">
      <w:r>
        <w:separator/>
      </w:r>
    </w:p>
  </w:endnote>
  <w:endnote w:type="continuationSeparator" w:id="0">
    <w:p w14:paraId="47355B9C" w14:textId="77777777" w:rsidR="008B5C20" w:rsidRDefault="008B5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-Times New Roman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PT Phonetic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1BF5A" w14:textId="56163E6D" w:rsidR="00684949" w:rsidRDefault="00684949" w:rsidP="00523715">
    <w:pPr>
      <w:pStyle w:val="llb"/>
      <w:pBdr>
        <w:top w:val="single" w:sz="4" w:space="1" w:color="auto"/>
      </w:pBdr>
      <w:tabs>
        <w:tab w:val="left" w:pos="887"/>
        <w:tab w:val="right" w:pos="8789"/>
      </w:tabs>
    </w:pPr>
    <w:r w:rsidRPr="003B571F">
      <w:t>Verzió:</w:t>
    </w:r>
    <w:r w:rsidR="0006277A" w:rsidRPr="003B571F">
      <w:t>20</w:t>
    </w:r>
    <w:r w:rsidR="0006277A">
      <w:t>22</w:t>
    </w:r>
    <w:r w:rsidRPr="003B571F">
      <w:t>.</w:t>
    </w:r>
    <w:r w:rsidR="0006277A">
      <w:t>1</w:t>
    </w:r>
    <w:r w:rsidR="0006277A" w:rsidRPr="003B571F">
      <w:t>1</w:t>
    </w:r>
    <w:r w:rsidRPr="003B571F">
      <w:t>.01.</w:t>
    </w:r>
    <w:r w:rsidRPr="003B571F">
      <w:tab/>
    </w:r>
    <w:r w:rsidRPr="003B571F">
      <w:tab/>
    </w:r>
    <w:r w:rsidRPr="003B571F">
      <w:fldChar w:fldCharType="begin"/>
    </w:r>
    <w:r w:rsidRPr="003B571F">
      <w:instrText xml:space="preserve"> PAGE  \* MERGEFORMAT </w:instrText>
    </w:r>
    <w:r w:rsidRPr="003B571F">
      <w:fldChar w:fldCharType="separate"/>
    </w:r>
    <w:r w:rsidR="00880736">
      <w:rPr>
        <w:noProof/>
      </w:rPr>
      <w:t>10</w:t>
    </w:r>
    <w:r w:rsidRPr="003B571F">
      <w:fldChar w:fldCharType="end"/>
    </w:r>
    <w:r w:rsidRPr="003B571F">
      <w:t xml:space="preserve"> (</w:t>
    </w:r>
    <w:r w:rsidRPr="003B571F">
      <w:rPr>
        <w:rStyle w:val="Oldalszm"/>
      </w:rPr>
      <w:fldChar w:fldCharType="begin"/>
    </w:r>
    <w:r w:rsidRPr="003B571F">
      <w:rPr>
        <w:rStyle w:val="Oldalszm"/>
      </w:rPr>
      <w:instrText xml:space="preserve"> NUMPAGES </w:instrText>
    </w:r>
    <w:r w:rsidRPr="003B571F">
      <w:rPr>
        <w:rStyle w:val="Oldalszm"/>
      </w:rPr>
      <w:fldChar w:fldCharType="separate"/>
    </w:r>
    <w:r w:rsidR="00880736">
      <w:rPr>
        <w:rStyle w:val="Oldalszm"/>
        <w:noProof/>
      </w:rPr>
      <w:t>10</w:t>
    </w:r>
    <w:r w:rsidRPr="003B571F">
      <w:rPr>
        <w:rStyle w:val="Oldalszm"/>
      </w:rPr>
      <w:fldChar w:fldCharType="end"/>
    </w:r>
    <w:r w:rsidRPr="003B571F">
      <w:t>)</w:t>
    </w:r>
  </w:p>
  <w:p w14:paraId="4C56AB13" w14:textId="77777777" w:rsidR="00684949" w:rsidRPr="00523715" w:rsidRDefault="00684949" w:rsidP="0052371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7898B" w14:textId="77777777" w:rsidR="00684949" w:rsidRDefault="00684949" w:rsidP="00523715">
    <w:pPr>
      <w:pStyle w:val="llb"/>
      <w:pBdr>
        <w:top w:val="single" w:sz="4" w:space="1" w:color="auto"/>
      </w:pBdr>
      <w:tabs>
        <w:tab w:val="left" w:pos="887"/>
        <w:tab w:val="right" w:pos="8789"/>
      </w:tabs>
    </w:pPr>
    <w:r w:rsidRPr="003B571F">
      <w:t>Verzió:2013.01.01.</w:t>
    </w:r>
    <w:r w:rsidRPr="003B571F">
      <w:tab/>
    </w:r>
    <w:r w:rsidRPr="003B571F">
      <w:tab/>
    </w:r>
    <w:r w:rsidRPr="003B571F">
      <w:fldChar w:fldCharType="begin"/>
    </w:r>
    <w:r w:rsidRPr="003B571F">
      <w:instrText xml:space="preserve"> PAGE  \* MERGEFORMAT </w:instrText>
    </w:r>
    <w:r w:rsidRPr="003B571F">
      <w:fldChar w:fldCharType="separate"/>
    </w:r>
    <w:r w:rsidR="00880736">
      <w:rPr>
        <w:noProof/>
      </w:rPr>
      <w:t>1</w:t>
    </w:r>
    <w:r w:rsidRPr="003B571F">
      <w:fldChar w:fldCharType="end"/>
    </w:r>
    <w:r w:rsidRPr="003B571F">
      <w:t xml:space="preserve"> (</w:t>
    </w:r>
    <w:r w:rsidRPr="003B571F">
      <w:rPr>
        <w:rStyle w:val="Oldalszm"/>
      </w:rPr>
      <w:fldChar w:fldCharType="begin"/>
    </w:r>
    <w:r w:rsidRPr="003B571F">
      <w:rPr>
        <w:rStyle w:val="Oldalszm"/>
      </w:rPr>
      <w:instrText xml:space="preserve"> NUMPAGES </w:instrText>
    </w:r>
    <w:r w:rsidRPr="003B571F">
      <w:rPr>
        <w:rStyle w:val="Oldalszm"/>
      </w:rPr>
      <w:fldChar w:fldCharType="separate"/>
    </w:r>
    <w:r w:rsidR="00880736">
      <w:rPr>
        <w:rStyle w:val="Oldalszm"/>
        <w:noProof/>
      </w:rPr>
      <w:t>1</w:t>
    </w:r>
    <w:r w:rsidRPr="003B571F">
      <w:rPr>
        <w:rStyle w:val="Oldalszm"/>
      </w:rPr>
      <w:fldChar w:fldCharType="end"/>
    </w:r>
    <w:r w:rsidRPr="003B571F">
      <w:t>)</w:t>
    </w:r>
  </w:p>
  <w:p w14:paraId="70346C24" w14:textId="77777777" w:rsidR="00684949" w:rsidRDefault="0068494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F8500" w14:textId="77777777" w:rsidR="008B5C20" w:rsidRDefault="008B5C20">
      <w:r>
        <w:separator/>
      </w:r>
    </w:p>
  </w:footnote>
  <w:footnote w:type="continuationSeparator" w:id="0">
    <w:p w14:paraId="2B2F4AB0" w14:textId="77777777" w:rsidR="008B5C20" w:rsidRDefault="008B5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5DC55" w14:textId="77777777" w:rsidR="00684949" w:rsidRDefault="00684949">
    <w:pPr>
      <w:pStyle w:val="lfej"/>
      <w:pBdr>
        <w:bottom w:val="single" w:sz="4" w:space="1" w:color="auto"/>
      </w:pBdr>
      <w:tabs>
        <w:tab w:val="clear" w:pos="8640"/>
        <w:tab w:val="right" w:pos="9072"/>
      </w:tabs>
    </w:pPr>
    <w:r>
      <w:t>Magyar Telekom</w:t>
    </w:r>
    <w:r>
      <w:tab/>
    </w:r>
    <w:r>
      <w:tab/>
      <w:t>1. Melléklet</w:t>
    </w:r>
  </w:p>
  <w:p w14:paraId="3AC2541D" w14:textId="77777777" w:rsidR="00684949" w:rsidRDefault="00684949">
    <w:pPr>
      <w:pStyle w:val="lfej"/>
      <w:pBdr>
        <w:bottom w:val="single" w:sz="4" w:space="1" w:color="auto"/>
      </w:pBdr>
      <w:tabs>
        <w:tab w:val="clear" w:pos="8640"/>
        <w:tab w:val="right" w:pos="9072"/>
      </w:tabs>
      <w:rPr>
        <w:b/>
      </w:rPr>
    </w:pPr>
    <w:r>
      <w:rPr>
        <w:b/>
      </w:rPr>
      <w:t>MT RRO</w:t>
    </w:r>
    <w:r>
      <w:rPr>
        <w:b/>
      </w:rPr>
      <w:tab/>
    </w:r>
    <w:r>
      <w:rPr>
        <w:b/>
      </w:rPr>
      <w:tab/>
      <w:t>Definíciók és értelmezés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A4BAE186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22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453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680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907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1134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1360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1587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1814" w:hanging="708"/>
      </w:pPr>
    </w:lvl>
  </w:abstractNum>
  <w:abstractNum w:abstractNumId="2" w15:restartNumberingAfterBreak="0">
    <w:nsid w:val="033D75FA"/>
    <w:multiLevelType w:val="singleLevel"/>
    <w:tmpl w:val="0316B63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A940CEB"/>
    <w:multiLevelType w:val="singleLevel"/>
    <w:tmpl w:val="84AA05E6"/>
    <w:lvl w:ilvl="0">
      <w:start w:val="1"/>
      <w:numFmt w:val="lowerLetter"/>
      <w:lvlText w:val="%1)"/>
      <w:lvlJc w:val="left"/>
      <w:pPr>
        <w:tabs>
          <w:tab w:val="num" w:pos="1608"/>
        </w:tabs>
        <w:ind w:left="1608" w:hanging="360"/>
      </w:pPr>
      <w:rPr>
        <w:rFonts w:hint="default"/>
        <w:b/>
      </w:rPr>
    </w:lvl>
  </w:abstractNum>
  <w:abstractNum w:abstractNumId="4" w15:restartNumberingAfterBreak="0">
    <w:nsid w:val="146F2A5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6F03342"/>
    <w:multiLevelType w:val="singleLevel"/>
    <w:tmpl w:val="73DC19D2"/>
    <w:lvl w:ilvl="0">
      <w:start w:val="1"/>
      <w:numFmt w:val="lowerRoman"/>
      <w:lvlText w:val="(%1)"/>
      <w:legacy w:legacy="1" w:legacySpace="0" w:legacyIndent="1287"/>
      <w:lvlJc w:val="left"/>
      <w:pPr>
        <w:ind w:left="1854" w:hanging="1287"/>
      </w:pPr>
    </w:lvl>
  </w:abstractNum>
  <w:abstractNum w:abstractNumId="6" w15:restartNumberingAfterBreak="0">
    <w:nsid w:val="247D1AD2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8A800F3"/>
    <w:multiLevelType w:val="hybridMultilevel"/>
    <w:tmpl w:val="D696B2D4"/>
    <w:lvl w:ilvl="0" w:tplc="FD1A62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B411E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EAF2E53"/>
    <w:multiLevelType w:val="singleLevel"/>
    <w:tmpl w:val="B7E43EC6"/>
    <w:lvl w:ilvl="0">
      <w:start w:val="1"/>
      <w:numFmt w:val="upp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 w15:restartNumberingAfterBreak="0">
    <w:nsid w:val="33260426"/>
    <w:multiLevelType w:val="hybridMultilevel"/>
    <w:tmpl w:val="CC34832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073E3"/>
    <w:multiLevelType w:val="hybridMultilevel"/>
    <w:tmpl w:val="295AD518"/>
    <w:lvl w:ilvl="0" w:tplc="5CE07E14">
      <w:start w:val="1"/>
      <w:numFmt w:val="lowerLetter"/>
      <w:lvlText w:val="%1)"/>
      <w:lvlJc w:val="left"/>
      <w:pPr>
        <w:tabs>
          <w:tab w:val="num" w:pos="1551"/>
        </w:tabs>
        <w:ind w:left="155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271"/>
        </w:tabs>
        <w:ind w:left="227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991"/>
        </w:tabs>
        <w:ind w:left="299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711"/>
        </w:tabs>
        <w:ind w:left="371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431"/>
        </w:tabs>
        <w:ind w:left="443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151"/>
        </w:tabs>
        <w:ind w:left="515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871"/>
        </w:tabs>
        <w:ind w:left="587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591"/>
        </w:tabs>
        <w:ind w:left="659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311"/>
        </w:tabs>
        <w:ind w:left="7311" w:hanging="180"/>
      </w:pPr>
    </w:lvl>
  </w:abstractNum>
  <w:abstractNum w:abstractNumId="12" w15:restartNumberingAfterBreak="0">
    <w:nsid w:val="362270B8"/>
    <w:multiLevelType w:val="singleLevel"/>
    <w:tmpl w:val="2E82A8BE"/>
    <w:lvl w:ilvl="0">
      <w:start w:val="1"/>
      <w:numFmt w:val="lowerLetter"/>
      <w:lvlText w:val="%1.)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13" w15:restartNumberingAfterBreak="0">
    <w:nsid w:val="3EF33DD2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0F959E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B0669FD"/>
    <w:multiLevelType w:val="hybridMultilevel"/>
    <w:tmpl w:val="9D3A46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0B1E1F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FBE7BEE"/>
    <w:multiLevelType w:val="singleLevel"/>
    <w:tmpl w:val="7C1E0CAA"/>
    <w:lvl w:ilvl="0">
      <w:start w:val="1"/>
      <w:numFmt w:val="lowerLetter"/>
      <w:lvlText w:val="%1)"/>
      <w:lvlJc w:val="left"/>
      <w:pPr>
        <w:tabs>
          <w:tab w:val="num" w:pos="1551"/>
        </w:tabs>
        <w:ind w:left="1551" w:hanging="360"/>
      </w:pPr>
      <w:rPr>
        <w:rFonts w:hint="default"/>
        <w:b/>
      </w:rPr>
    </w:lvl>
  </w:abstractNum>
  <w:abstractNum w:abstractNumId="18" w15:restartNumberingAfterBreak="0">
    <w:nsid w:val="54CE2C8D"/>
    <w:multiLevelType w:val="singleLevel"/>
    <w:tmpl w:val="BBD0A190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19" w15:restartNumberingAfterBreak="0">
    <w:nsid w:val="57692709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9F42514"/>
    <w:multiLevelType w:val="hybridMultilevel"/>
    <w:tmpl w:val="5EE63A84"/>
    <w:lvl w:ilvl="0" w:tplc="040E0019">
      <w:start w:val="1"/>
      <w:numFmt w:val="lowerLetter"/>
      <w:lvlText w:val="%1."/>
      <w:lvlJc w:val="left"/>
      <w:pPr>
        <w:ind w:left="1400" w:hanging="360"/>
      </w:pPr>
    </w:lvl>
    <w:lvl w:ilvl="1" w:tplc="040E0019" w:tentative="1">
      <w:start w:val="1"/>
      <w:numFmt w:val="lowerLetter"/>
      <w:lvlText w:val="%2."/>
      <w:lvlJc w:val="left"/>
      <w:pPr>
        <w:ind w:left="2120" w:hanging="360"/>
      </w:pPr>
    </w:lvl>
    <w:lvl w:ilvl="2" w:tplc="040E001B" w:tentative="1">
      <w:start w:val="1"/>
      <w:numFmt w:val="lowerRoman"/>
      <w:lvlText w:val="%3."/>
      <w:lvlJc w:val="right"/>
      <w:pPr>
        <w:ind w:left="2840" w:hanging="180"/>
      </w:pPr>
    </w:lvl>
    <w:lvl w:ilvl="3" w:tplc="040E000F" w:tentative="1">
      <w:start w:val="1"/>
      <w:numFmt w:val="decimal"/>
      <w:lvlText w:val="%4."/>
      <w:lvlJc w:val="left"/>
      <w:pPr>
        <w:ind w:left="3560" w:hanging="360"/>
      </w:pPr>
    </w:lvl>
    <w:lvl w:ilvl="4" w:tplc="040E0019" w:tentative="1">
      <w:start w:val="1"/>
      <w:numFmt w:val="lowerLetter"/>
      <w:lvlText w:val="%5."/>
      <w:lvlJc w:val="left"/>
      <w:pPr>
        <w:ind w:left="4280" w:hanging="360"/>
      </w:pPr>
    </w:lvl>
    <w:lvl w:ilvl="5" w:tplc="040E001B" w:tentative="1">
      <w:start w:val="1"/>
      <w:numFmt w:val="lowerRoman"/>
      <w:lvlText w:val="%6."/>
      <w:lvlJc w:val="right"/>
      <w:pPr>
        <w:ind w:left="5000" w:hanging="180"/>
      </w:pPr>
    </w:lvl>
    <w:lvl w:ilvl="6" w:tplc="040E000F" w:tentative="1">
      <w:start w:val="1"/>
      <w:numFmt w:val="decimal"/>
      <w:lvlText w:val="%7."/>
      <w:lvlJc w:val="left"/>
      <w:pPr>
        <w:ind w:left="5720" w:hanging="360"/>
      </w:pPr>
    </w:lvl>
    <w:lvl w:ilvl="7" w:tplc="040E0019" w:tentative="1">
      <w:start w:val="1"/>
      <w:numFmt w:val="lowerLetter"/>
      <w:lvlText w:val="%8."/>
      <w:lvlJc w:val="left"/>
      <w:pPr>
        <w:ind w:left="6440" w:hanging="360"/>
      </w:pPr>
    </w:lvl>
    <w:lvl w:ilvl="8" w:tplc="040E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61814D6E"/>
    <w:multiLevelType w:val="hybridMultilevel"/>
    <w:tmpl w:val="5ADC47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214274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6407248F"/>
    <w:multiLevelType w:val="singleLevel"/>
    <w:tmpl w:val="5D12D316"/>
    <w:lvl w:ilvl="0">
      <w:start w:val="1"/>
      <w:numFmt w:val="lowerLetter"/>
      <w:lvlText w:val="%1)"/>
      <w:lvlJc w:val="left"/>
      <w:pPr>
        <w:tabs>
          <w:tab w:val="num" w:pos="1376"/>
        </w:tabs>
        <w:ind w:left="1376" w:hanging="360"/>
      </w:pPr>
      <w:rPr>
        <w:rFonts w:hint="default"/>
      </w:rPr>
    </w:lvl>
  </w:abstractNum>
  <w:abstractNum w:abstractNumId="24" w15:restartNumberingAfterBreak="0">
    <w:nsid w:val="65C326A1"/>
    <w:multiLevelType w:val="singleLevel"/>
    <w:tmpl w:val="4EBAB66C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25" w15:restartNumberingAfterBreak="0">
    <w:nsid w:val="68554DB4"/>
    <w:multiLevelType w:val="hybridMultilevel"/>
    <w:tmpl w:val="103AC34A"/>
    <w:lvl w:ilvl="0" w:tplc="610C9D1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26" w15:restartNumberingAfterBreak="0">
    <w:nsid w:val="6FD33E7E"/>
    <w:multiLevelType w:val="hybridMultilevel"/>
    <w:tmpl w:val="475868A2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F71B46"/>
    <w:multiLevelType w:val="singleLevel"/>
    <w:tmpl w:val="E21A982A"/>
    <w:lvl w:ilvl="0">
      <w:start w:val="1"/>
      <w:numFmt w:val="upperRoman"/>
      <w:lvlText w:val="%1."/>
      <w:lvlJc w:val="left"/>
      <w:pPr>
        <w:tabs>
          <w:tab w:val="num" w:pos="1931"/>
        </w:tabs>
        <w:ind w:left="1931" w:hanging="720"/>
      </w:pPr>
      <w:rPr>
        <w:rFonts w:hint="default"/>
      </w:rPr>
    </w:lvl>
  </w:abstractNum>
  <w:abstractNum w:abstractNumId="28" w15:restartNumberingAfterBreak="0">
    <w:nsid w:val="70A52D0B"/>
    <w:multiLevelType w:val="singleLevel"/>
    <w:tmpl w:val="4F9A5288"/>
    <w:lvl w:ilvl="0">
      <w:start w:val="1"/>
      <w:numFmt w:val="upperLetter"/>
      <w:lvlText w:val="(%1)"/>
      <w:lvlJc w:val="left"/>
      <w:pPr>
        <w:tabs>
          <w:tab w:val="num" w:pos="375"/>
        </w:tabs>
        <w:ind w:left="375" w:hanging="375"/>
      </w:pPr>
      <w:rPr>
        <w:rFonts w:ascii="Times New Roman" w:hAnsi="Times New Roman" w:hint="default"/>
      </w:rPr>
    </w:lvl>
  </w:abstractNum>
  <w:abstractNum w:abstractNumId="29" w15:restartNumberingAfterBreak="0">
    <w:nsid w:val="76BA059B"/>
    <w:multiLevelType w:val="multilevel"/>
    <w:tmpl w:val="41A028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7302F1D"/>
    <w:multiLevelType w:val="singleLevel"/>
    <w:tmpl w:val="6DD04C96"/>
    <w:lvl w:ilvl="0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5"/>
  </w:num>
  <w:num w:numId="11">
    <w:abstractNumId w:val="2"/>
  </w:num>
  <w:num w:numId="12">
    <w:abstractNumId w:val="13"/>
  </w:num>
  <w:num w:numId="13">
    <w:abstractNumId w:val="28"/>
  </w:num>
  <w:num w:numId="14">
    <w:abstractNumId w:val="6"/>
  </w:num>
  <w:num w:numId="15">
    <w:abstractNumId w:val="9"/>
  </w:num>
  <w:num w:numId="16">
    <w:abstractNumId w:val="16"/>
  </w:num>
  <w:num w:numId="17">
    <w:abstractNumId w:val="19"/>
  </w:num>
  <w:num w:numId="18">
    <w:abstractNumId w:val="12"/>
  </w:num>
  <w:num w:numId="19">
    <w:abstractNumId w:val="14"/>
  </w:num>
  <w:num w:numId="20">
    <w:abstractNumId w:val="4"/>
  </w:num>
  <w:num w:numId="21">
    <w:abstractNumId w:val="22"/>
  </w:num>
  <w:num w:numId="22">
    <w:abstractNumId w:val="30"/>
  </w:num>
  <w:num w:numId="23">
    <w:abstractNumId w:val="8"/>
  </w:num>
  <w:num w:numId="24">
    <w:abstractNumId w:val="18"/>
  </w:num>
  <w:num w:numId="25">
    <w:abstractNumId w:val="23"/>
  </w:num>
  <w:num w:numId="26">
    <w:abstractNumId w:val="24"/>
  </w:num>
  <w:num w:numId="27">
    <w:abstractNumId w:val="27"/>
  </w:num>
  <w:num w:numId="28">
    <w:abstractNumId w:val="17"/>
  </w:num>
  <w:num w:numId="29">
    <w:abstractNumId w:val="3"/>
  </w:num>
  <w:num w:numId="30">
    <w:abstractNumId w:val="26"/>
  </w:num>
  <w:num w:numId="31">
    <w:abstractNumId w:val="11"/>
  </w:num>
  <w:num w:numId="32">
    <w:abstractNumId w:val="21"/>
  </w:num>
  <w:num w:numId="33">
    <w:abstractNumId w:val="15"/>
  </w:num>
  <w:num w:numId="34">
    <w:abstractNumId w:val="20"/>
  </w:num>
  <w:num w:numId="35">
    <w:abstractNumId w:val="10"/>
  </w:num>
  <w:num w:numId="36">
    <w:abstractNumId w:val="0"/>
  </w:num>
  <w:num w:numId="37">
    <w:abstractNumId w:val="25"/>
  </w:num>
  <w:num w:numId="38">
    <w:abstractNumId w:val="29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66C6"/>
    <w:rsid w:val="00000EFA"/>
    <w:rsid w:val="0000161A"/>
    <w:rsid w:val="00004ADD"/>
    <w:rsid w:val="00014204"/>
    <w:rsid w:val="00020086"/>
    <w:rsid w:val="000345F7"/>
    <w:rsid w:val="00037872"/>
    <w:rsid w:val="000421A6"/>
    <w:rsid w:val="00057BA0"/>
    <w:rsid w:val="00061524"/>
    <w:rsid w:val="0006277A"/>
    <w:rsid w:val="00071F43"/>
    <w:rsid w:val="00073673"/>
    <w:rsid w:val="00075ABC"/>
    <w:rsid w:val="000767E3"/>
    <w:rsid w:val="00077848"/>
    <w:rsid w:val="0009274B"/>
    <w:rsid w:val="000A230A"/>
    <w:rsid w:val="000A67F2"/>
    <w:rsid w:val="000A7335"/>
    <w:rsid w:val="000A7CE3"/>
    <w:rsid w:val="000B13AD"/>
    <w:rsid w:val="000C0ED2"/>
    <w:rsid w:val="000D0A6A"/>
    <w:rsid w:val="000D37E9"/>
    <w:rsid w:val="000E5055"/>
    <w:rsid w:val="000F4C1B"/>
    <w:rsid w:val="00103ADF"/>
    <w:rsid w:val="00110221"/>
    <w:rsid w:val="001225E0"/>
    <w:rsid w:val="001234F0"/>
    <w:rsid w:val="00124E01"/>
    <w:rsid w:val="001279DD"/>
    <w:rsid w:val="0013272A"/>
    <w:rsid w:val="00136C8C"/>
    <w:rsid w:val="001407B5"/>
    <w:rsid w:val="00140EBB"/>
    <w:rsid w:val="001453BB"/>
    <w:rsid w:val="00156A04"/>
    <w:rsid w:val="00156EC5"/>
    <w:rsid w:val="001579C9"/>
    <w:rsid w:val="00170F96"/>
    <w:rsid w:val="00184F2F"/>
    <w:rsid w:val="001B221F"/>
    <w:rsid w:val="001B71F5"/>
    <w:rsid w:val="001D5761"/>
    <w:rsid w:val="001D6F06"/>
    <w:rsid w:val="001E41A2"/>
    <w:rsid w:val="001F185B"/>
    <w:rsid w:val="001F5478"/>
    <w:rsid w:val="001F6CB2"/>
    <w:rsid w:val="00200298"/>
    <w:rsid w:val="002108AF"/>
    <w:rsid w:val="00212097"/>
    <w:rsid w:val="00227C99"/>
    <w:rsid w:val="002309BE"/>
    <w:rsid w:val="00237E95"/>
    <w:rsid w:val="002444DD"/>
    <w:rsid w:val="002532ED"/>
    <w:rsid w:val="0026452C"/>
    <w:rsid w:val="002660D3"/>
    <w:rsid w:val="00270219"/>
    <w:rsid w:val="00281E40"/>
    <w:rsid w:val="00295E3E"/>
    <w:rsid w:val="00297C09"/>
    <w:rsid w:val="002A7B4B"/>
    <w:rsid w:val="002B2037"/>
    <w:rsid w:val="002B68B5"/>
    <w:rsid w:val="002C22F7"/>
    <w:rsid w:val="002E5986"/>
    <w:rsid w:val="002E6A3A"/>
    <w:rsid w:val="002F376E"/>
    <w:rsid w:val="002F6EC3"/>
    <w:rsid w:val="00303F6E"/>
    <w:rsid w:val="00305296"/>
    <w:rsid w:val="00315FCC"/>
    <w:rsid w:val="00316017"/>
    <w:rsid w:val="00321FF1"/>
    <w:rsid w:val="00322C94"/>
    <w:rsid w:val="0033353A"/>
    <w:rsid w:val="00336E42"/>
    <w:rsid w:val="00362652"/>
    <w:rsid w:val="0037025F"/>
    <w:rsid w:val="00375789"/>
    <w:rsid w:val="00376408"/>
    <w:rsid w:val="0037771F"/>
    <w:rsid w:val="003823AD"/>
    <w:rsid w:val="003A0184"/>
    <w:rsid w:val="003A1C65"/>
    <w:rsid w:val="003B19E8"/>
    <w:rsid w:val="003B274A"/>
    <w:rsid w:val="003D3AA4"/>
    <w:rsid w:val="003F3B33"/>
    <w:rsid w:val="003F4E26"/>
    <w:rsid w:val="00404938"/>
    <w:rsid w:val="00426BCF"/>
    <w:rsid w:val="00440303"/>
    <w:rsid w:val="00440C66"/>
    <w:rsid w:val="0044340F"/>
    <w:rsid w:val="004526A7"/>
    <w:rsid w:val="00461EAD"/>
    <w:rsid w:val="00470CBD"/>
    <w:rsid w:val="0047210A"/>
    <w:rsid w:val="00476282"/>
    <w:rsid w:val="004822C4"/>
    <w:rsid w:val="0048326A"/>
    <w:rsid w:val="00485C08"/>
    <w:rsid w:val="004A044B"/>
    <w:rsid w:val="004A644D"/>
    <w:rsid w:val="004A6BA4"/>
    <w:rsid w:val="004B1378"/>
    <w:rsid w:val="004B2AC0"/>
    <w:rsid w:val="004D123B"/>
    <w:rsid w:val="004D534D"/>
    <w:rsid w:val="004D5764"/>
    <w:rsid w:val="004D6421"/>
    <w:rsid w:val="004D646E"/>
    <w:rsid w:val="004E1AD3"/>
    <w:rsid w:val="004E277C"/>
    <w:rsid w:val="004E7DFD"/>
    <w:rsid w:val="004F1C3C"/>
    <w:rsid w:val="004F2644"/>
    <w:rsid w:val="0050390B"/>
    <w:rsid w:val="00504360"/>
    <w:rsid w:val="0050678B"/>
    <w:rsid w:val="005146AD"/>
    <w:rsid w:val="00523715"/>
    <w:rsid w:val="0054574F"/>
    <w:rsid w:val="0054745A"/>
    <w:rsid w:val="00551D44"/>
    <w:rsid w:val="00554649"/>
    <w:rsid w:val="00555527"/>
    <w:rsid w:val="005664A0"/>
    <w:rsid w:val="005768D6"/>
    <w:rsid w:val="00591F2E"/>
    <w:rsid w:val="00597432"/>
    <w:rsid w:val="005B53E5"/>
    <w:rsid w:val="005C43AE"/>
    <w:rsid w:val="005E0714"/>
    <w:rsid w:val="00607B74"/>
    <w:rsid w:val="00616F24"/>
    <w:rsid w:val="0062193A"/>
    <w:rsid w:val="00621E73"/>
    <w:rsid w:val="00630674"/>
    <w:rsid w:val="00640352"/>
    <w:rsid w:val="00651A1D"/>
    <w:rsid w:val="00663A4E"/>
    <w:rsid w:val="00673CA7"/>
    <w:rsid w:val="00674094"/>
    <w:rsid w:val="0067699F"/>
    <w:rsid w:val="00684949"/>
    <w:rsid w:val="00685F5F"/>
    <w:rsid w:val="006933D6"/>
    <w:rsid w:val="00697390"/>
    <w:rsid w:val="006B105F"/>
    <w:rsid w:val="006B676C"/>
    <w:rsid w:val="006C1A3E"/>
    <w:rsid w:val="006C2D93"/>
    <w:rsid w:val="006C6FA4"/>
    <w:rsid w:val="006D1F3C"/>
    <w:rsid w:val="006D4CA4"/>
    <w:rsid w:val="006D725B"/>
    <w:rsid w:val="006E1A34"/>
    <w:rsid w:val="006E2E3D"/>
    <w:rsid w:val="006E47B8"/>
    <w:rsid w:val="006F04A9"/>
    <w:rsid w:val="006F3519"/>
    <w:rsid w:val="006F39C7"/>
    <w:rsid w:val="006F79EB"/>
    <w:rsid w:val="00710F25"/>
    <w:rsid w:val="00712317"/>
    <w:rsid w:val="00715C25"/>
    <w:rsid w:val="0073229B"/>
    <w:rsid w:val="00732839"/>
    <w:rsid w:val="00747839"/>
    <w:rsid w:val="00757FC9"/>
    <w:rsid w:val="00764D25"/>
    <w:rsid w:val="007651B0"/>
    <w:rsid w:val="00771307"/>
    <w:rsid w:val="00773410"/>
    <w:rsid w:val="00782097"/>
    <w:rsid w:val="00793A64"/>
    <w:rsid w:val="007946D0"/>
    <w:rsid w:val="00794D5B"/>
    <w:rsid w:val="00795A27"/>
    <w:rsid w:val="00797AF6"/>
    <w:rsid w:val="007A31FD"/>
    <w:rsid w:val="007B1584"/>
    <w:rsid w:val="007B3C4D"/>
    <w:rsid w:val="007D1E4F"/>
    <w:rsid w:val="007D7328"/>
    <w:rsid w:val="007E3F79"/>
    <w:rsid w:val="007F2ECC"/>
    <w:rsid w:val="008015F3"/>
    <w:rsid w:val="00804E0F"/>
    <w:rsid w:val="00806C15"/>
    <w:rsid w:val="0082726C"/>
    <w:rsid w:val="00833391"/>
    <w:rsid w:val="00836D68"/>
    <w:rsid w:val="00841191"/>
    <w:rsid w:val="00843E3D"/>
    <w:rsid w:val="00851FCF"/>
    <w:rsid w:val="008704F9"/>
    <w:rsid w:val="00880736"/>
    <w:rsid w:val="00884346"/>
    <w:rsid w:val="0088695B"/>
    <w:rsid w:val="008B5C20"/>
    <w:rsid w:val="008C4145"/>
    <w:rsid w:val="008D00FA"/>
    <w:rsid w:val="008D5CAE"/>
    <w:rsid w:val="009037BA"/>
    <w:rsid w:val="00904108"/>
    <w:rsid w:val="00907804"/>
    <w:rsid w:val="009361DA"/>
    <w:rsid w:val="00936415"/>
    <w:rsid w:val="009416E0"/>
    <w:rsid w:val="009432A7"/>
    <w:rsid w:val="00943C19"/>
    <w:rsid w:val="00946E26"/>
    <w:rsid w:val="00951225"/>
    <w:rsid w:val="009557E0"/>
    <w:rsid w:val="009775BE"/>
    <w:rsid w:val="00977E87"/>
    <w:rsid w:val="009807E3"/>
    <w:rsid w:val="00981716"/>
    <w:rsid w:val="00996E95"/>
    <w:rsid w:val="009C2D0D"/>
    <w:rsid w:val="009C40F4"/>
    <w:rsid w:val="009D1333"/>
    <w:rsid w:val="009E221C"/>
    <w:rsid w:val="009E3137"/>
    <w:rsid w:val="009E73F2"/>
    <w:rsid w:val="009F2C87"/>
    <w:rsid w:val="009F6144"/>
    <w:rsid w:val="00A038EE"/>
    <w:rsid w:val="00A04AC3"/>
    <w:rsid w:val="00A10EFF"/>
    <w:rsid w:val="00A162B7"/>
    <w:rsid w:val="00A22D74"/>
    <w:rsid w:val="00A267E3"/>
    <w:rsid w:val="00A26AD4"/>
    <w:rsid w:val="00A37C73"/>
    <w:rsid w:val="00A426ED"/>
    <w:rsid w:val="00A54410"/>
    <w:rsid w:val="00A572A9"/>
    <w:rsid w:val="00A7011C"/>
    <w:rsid w:val="00A70149"/>
    <w:rsid w:val="00A70821"/>
    <w:rsid w:val="00A7486F"/>
    <w:rsid w:val="00A810EC"/>
    <w:rsid w:val="00A85AD8"/>
    <w:rsid w:val="00A92F67"/>
    <w:rsid w:val="00AA18AB"/>
    <w:rsid w:val="00AA59E8"/>
    <w:rsid w:val="00AB3C7E"/>
    <w:rsid w:val="00AB5A10"/>
    <w:rsid w:val="00AF1DE9"/>
    <w:rsid w:val="00B043D1"/>
    <w:rsid w:val="00B06872"/>
    <w:rsid w:val="00B108FE"/>
    <w:rsid w:val="00B1304B"/>
    <w:rsid w:val="00B40E73"/>
    <w:rsid w:val="00B418EE"/>
    <w:rsid w:val="00B44833"/>
    <w:rsid w:val="00B54934"/>
    <w:rsid w:val="00B63CC3"/>
    <w:rsid w:val="00B953DD"/>
    <w:rsid w:val="00BA19EA"/>
    <w:rsid w:val="00BB08B6"/>
    <w:rsid w:val="00BC206E"/>
    <w:rsid w:val="00BE3365"/>
    <w:rsid w:val="00BE4373"/>
    <w:rsid w:val="00BF2E28"/>
    <w:rsid w:val="00BF2FA3"/>
    <w:rsid w:val="00BF38E7"/>
    <w:rsid w:val="00C0074D"/>
    <w:rsid w:val="00C01691"/>
    <w:rsid w:val="00C052B7"/>
    <w:rsid w:val="00C06210"/>
    <w:rsid w:val="00C42D1F"/>
    <w:rsid w:val="00C560BB"/>
    <w:rsid w:val="00C70E3F"/>
    <w:rsid w:val="00C74141"/>
    <w:rsid w:val="00C819FA"/>
    <w:rsid w:val="00C966BA"/>
    <w:rsid w:val="00CA27F0"/>
    <w:rsid w:val="00CA79A9"/>
    <w:rsid w:val="00CB0AE9"/>
    <w:rsid w:val="00CB3A61"/>
    <w:rsid w:val="00CB4C26"/>
    <w:rsid w:val="00CB6329"/>
    <w:rsid w:val="00CD0DE8"/>
    <w:rsid w:val="00CD17E4"/>
    <w:rsid w:val="00CD5A52"/>
    <w:rsid w:val="00CD7022"/>
    <w:rsid w:val="00CE2290"/>
    <w:rsid w:val="00CF624D"/>
    <w:rsid w:val="00D01EFC"/>
    <w:rsid w:val="00D077BA"/>
    <w:rsid w:val="00D11C76"/>
    <w:rsid w:val="00D24AB8"/>
    <w:rsid w:val="00D263F3"/>
    <w:rsid w:val="00D338A4"/>
    <w:rsid w:val="00D339F8"/>
    <w:rsid w:val="00D42AEF"/>
    <w:rsid w:val="00D46172"/>
    <w:rsid w:val="00D46411"/>
    <w:rsid w:val="00D470BA"/>
    <w:rsid w:val="00D529C3"/>
    <w:rsid w:val="00D52C0E"/>
    <w:rsid w:val="00D71093"/>
    <w:rsid w:val="00D768B9"/>
    <w:rsid w:val="00D77909"/>
    <w:rsid w:val="00D95665"/>
    <w:rsid w:val="00DB092F"/>
    <w:rsid w:val="00DC0CEE"/>
    <w:rsid w:val="00DD2550"/>
    <w:rsid w:val="00DD40D5"/>
    <w:rsid w:val="00DF29A4"/>
    <w:rsid w:val="00E03CB2"/>
    <w:rsid w:val="00E121E3"/>
    <w:rsid w:val="00E152BF"/>
    <w:rsid w:val="00E16DEF"/>
    <w:rsid w:val="00E178EC"/>
    <w:rsid w:val="00E2157A"/>
    <w:rsid w:val="00E21729"/>
    <w:rsid w:val="00E227CD"/>
    <w:rsid w:val="00E2554B"/>
    <w:rsid w:val="00E34912"/>
    <w:rsid w:val="00E428F6"/>
    <w:rsid w:val="00E450F7"/>
    <w:rsid w:val="00E466C6"/>
    <w:rsid w:val="00E665DD"/>
    <w:rsid w:val="00E67C65"/>
    <w:rsid w:val="00E732A2"/>
    <w:rsid w:val="00E827CF"/>
    <w:rsid w:val="00E865EA"/>
    <w:rsid w:val="00E913CF"/>
    <w:rsid w:val="00E94E71"/>
    <w:rsid w:val="00EA2A94"/>
    <w:rsid w:val="00EA7C75"/>
    <w:rsid w:val="00EB0B6B"/>
    <w:rsid w:val="00ED1E02"/>
    <w:rsid w:val="00ED445F"/>
    <w:rsid w:val="00EF1279"/>
    <w:rsid w:val="00EF5B98"/>
    <w:rsid w:val="00EF7381"/>
    <w:rsid w:val="00F00265"/>
    <w:rsid w:val="00F13B9C"/>
    <w:rsid w:val="00F31D3D"/>
    <w:rsid w:val="00F36079"/>
    <w:rsid w:val="00F44BA8"/>
    <w:rsid w:val="00F4580D"/>
    <w:rsid w:val="00F47696"/>
    <w:rsid w:val="00F615F9"/>
    <w:rsid w:val="00F62091"/>
    <w:rsid w:val="00F727BA"/>
    <w:rsid w:val="00F8625F"/>
    <w:rsid w:val="00F91491"/>
    <w:rsid w:val="00FB12BD"/>
    <w:rsid w:val="00FB244C"/>
    <w:rsid w:val="00FC684F"/>
    <w:rsid w:val="00FD1B04"/>
    <w:rsid w:val="00FE3019"/>
    <w:rsid w:val="00FF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8A2244"/>
  <w15:chartTrackingRefBased/>
  <w15:docId w15:val="{E2808E09-B9B9-4014-987E-B837C45B8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Pr>
      <w:sz w:val="24"/>
    </w:rPr>
  </w:style>
  <w:style w:type="paragraph" w:styleId="Cmsor1">
    <w:name w:val="heading 1"/>
    <w:basedOn w:val="Norml"/>
    <w:next w:val="A"/>
    <w:qFormat/>
    <w:pPr>
      <w:keepNext/>
      <w:keepLines/>
      <w:spacing w:before="720"/>
      <w:ind w:left="708" w:hanging="708"/>
      <w:jc w:val="center"/>
      <w:outlineLvl w:val="0"/>
    </w:pPr>
    <w:rPr>
      <w:b/>
    </w:rPr>
  </w:style>
  <w:style w:type="paragraph" w:styleId="Cmsor2">
    <w:name w:val="heading 2"/>
    <w:basedOn w:val="A"/>
    <w:next w:val="A"/>
    <w:qFormat/>
    <w:pPr>
      <w:keepNext/>
      <w:spacing w:before="480"/>
      <w:outlineLvl w:val="1"/>
    </w:pPr>
    <w:rPr>
      <w:b/>
    </w:rPr>
  </w:style>
  <w:style w:type="paragraph" w:styleId="Cmsor3">
    <w:name w:val="heading 3"/>
    <w:basedOn w:val="B"/>
    <w:next w:val="B"/>
    <w:qFormat/>
    <w:pPr>
      <w:keepNext/>
      <w:spacing w:before="240"/>
      <w:jc w:val="left"/>
      <w:outlineLvl w:val="2"/>
    </w:pPr>
    <w:rPr>
      <w:b/>
    </w:rPr>
  </w:style>
  <w:style w:type="paragraph" w:styleId="Cmsor4">
    <w:name w:val="heading 4"/>
    <w:basedOn w:val="C"/>
    <w:next w:val="C"/>
    <w:qFormat/>
    <w:pPr>
      <w:keepNext/>
      <w:spacing w:before="240"/>
      <w:outlineLvl w:val="3"/>
    </w:pPr>
    <w:rPr>
      <w:b/>
    </w:rPr>
  </w:style>
  <w:style w:type="paragraph" w:styleId="Cmsor5">
    <w:name w:val="heading 5"/>
    <w:basedOn w:val="D"/>
    <w:next w:val="D"/>
    <w:qFormat/>
    <w:pPr>
      <w:keepNext/>
      <w:spacing w:before="240"/>
      <w:outlineLvl w:val="4"/>
    </w:pPr>
    <w:rPr>
      <w:b/>
    </w:rPr>
  </w:style>
  <w:style w:type="paragraph" w:styleId="Cmsor6">
    <w:name w:val="heading 6"/>
    <w:basedOn w:val="E"/>
    <w:next w:val="E"/>
    <w:qFormat/>
    <w:pPr>
      <w:keepNext/>
      <w:spacing w:before="240"/>
      <w:outlineLvl w:val="5"/>
    </w:pPr>
    <w:rPr>
      <w:b/>
    </w:rPr>
  </w:style>
  <w:style w:type="paragraph" w:styleId="Cmsor7">
    <w:name w:val="heading 7"/>
    <w:basedOn w:val="F"/>
    <w:next w:val="F"/>
    <w:qFormat/>
    <w:pPr>
      <w:keepNext/>
      <w:spacing w:before="240"/>
      <w:outlineLvl w:val="6"/>
    </w:pPr>
    <w:rPr>
      <w:b/>
    </w:rPr>
  </w:style>
  <w:style w:type="paragraph" w:styleId="Cmsor8">
    <w:name w:val="heading 8"/>
    <w:basedOn w:val="G"/>
    <w:next w:val="G"/>
    <w:qFormat/>
    <w:pPr>
      <w:keepNext/>
      <w:spacing w:before="240"/>
      <w:outlineLvl w:val="7"/>
    </w:pPr>
    <w:rPr>
      <w:b/>
    </w:rPr>
  </w:style>
  <w:style w:type="paragraph" w:styleId="Cmsor9">
    <w:name w:val="heading 9"/>
    <w:basedOn w:val="H"/>
    <w:next w:val="H"/>
    <w:qFormat/>
    <w:pPr>
      <w:keepNext/>
      <w:spacing w:before="240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name w:val="A"/>
    <w:basedOn w:val="Norml"/>
    <w:pPr>
      <w:ind w:left="340" w:hanging="170"/>
      <w:jc w:val="both"/>
    </w:pPr>
  </w:style>
  <w:style w:type="paragraph" w:customStyle="1" w:styleId="B">
    <w:name w:val="B"/>
    <w:basedOn w:val="A"/>
    <w:pPr>
      <w:ind w:left="680"/>
    </w:pPr>
  </w:style>
  <w:style w:type="paragraph" w:customStyle="1" w:styleId="C">
    <w:name w:val="C"/>
    <w:basedOn w:val="A"/>
    <w:pPr>
      <w:ind w:left="1021"/>
    </w:pPr>
  </w:style>
  <w:style w:type="paragraph" w:customStyle="1" w:styleId="D">
    <w:name w:val="D"/>
    <w:basedOn w:val="A"/>
    <w:pPr>
      <w:ind w:left="1361"/>
    </w:pPr>
  </w:style>
  <w:style w:type="paragraph" w:customStyle="1" w:styleId="E">
    <w:name w:val="E"/>
    <w:basedOn w:val="A"/>
    <w:pPr>
      <w:ind w:left="1701"/>
    </w:pPr>
  </w:style>
  <w:style w:type="paragraph" w:customStyle="1" w:styleId="F">
    <w:name w:val="F"/>
    <w:basedOn w:val="A"/>
    <w:pPr>
      <w:ind w:left="2041"/>
    </w:pPr>
  </w:style>
  <w:style w:type="paragraph" w:customStyle="1" w:styleId="G">
    <w:name w:val="G"/>
    <w:basedOn w:val="A"/>
    <w:pPr>
      <w:ind w:left="2381"/>
    </w:pPr>
  </w:style>
  <w:style w:type="paragraph" w:customStyle="1" w:styleId="H">
    <w:name w:val="H"/>
    <w:basedOn w:val="A"/>
    <w:pPr>
      <w:ind w:left="2722"/>
    </w:pPr>
  </w:style>
  <w:style w:type="paragraph" w:customStyle="1" w:styleId="I">
    <w:name w:val="I"/>
    <w:basedOn w:val="H"/>
    <w:pPr>
      <w:ind w:left="2041"/>
    </w:pPr>
  </w:style>
  <w:style w:type="paragraph" w:customStyle="1" w:styleId="J">
    <w:name w:val="J"/>
    <w:basedOn w:val="I"/>
    <w:pPr>
      <w:ind w:left="2268"/>
    </w:pPr>
  </w:style>
  <w:style w:type="paragraph" w:customStyle="1" w:styleId="K">
    <w:name w:val="K"/>
    <w:pPr>
      <w:spacing w:line="240" w:lineRule="exact"/>
      <w:jc w:val="center"/>
    </w:pPr>
    <w:rPr>
      <w:sz w:val="24"/>
      <w:lang w:val="en-GB"/>
    </w:rPr>
  </w:style>
  <w:style w:type="paragraph" w:styleId="Szvegtrzs">
    <w:name w:val="Body Text"/>
    <w:basedOn w:val="Norml"/>
    <w:pPr>
      <w:jc w:val="both"/>
    </w:pPr>
  </w:style>
  <w:style w:type="paragraph" w:styleId="Szvegtrzs2">
    <w:name w:val="Body Text 2"/>
    <w:basedOn w:val="Norml"/>
    <w:pPr>
      <w:spacing w:after="240"/>
      <w:ind w:left="644" w:hanging="284"/>
      <w:jc w:val="both"/>
    </w:pPr>
    <w:rPr>
      <w:rFonts w:ascii="Arial" w:hAnsi="Arial"/>
      <w:i/>
      <w:sz w:val="28"/>
    </w:rPr>
  </w:style>
  <w:style w:type="character" w:styleId="Jegyzethivatkozs">
    <w:name w:val="annotation reference"/>
    <w:semiHidden/>
    <w:rPr>
      <w:sz w:val="16"/>
    </w:rPr>
  </w:style>
  <w:style w:type="paragraph" w:styleId="Jegyzetszveg">
    <w:name w:val="annotation text"/>
    <w:basedOn w:val="Norml"/>
    <w:semiHidden/>
    <w:rPr>
      <w:sz w:val="20"/>
    </w:rPr>
  </w:style>
  <w:style w:type="paragraph" w:styleId="llb">
    <w:name w:val="footer"/>
    <w:basedOn w:val="Norml"/>
    <w:link w:val="llbChar"/>
    <w:pPr>
      <w:tabs>
        <w:tab w:val="center" w:pos="4320"/>
        <w:tab w:val="right" w:pos="8640"/>
      </w:tabs>
    </w:pPr>
    <w:rPr>
      <w:sz w:val="20"/>
    </w:rPr>
  </w:style>
  <w:style w:type="character" w:styleId="Lbjegyzet-hivatkozs">
    <w:name w:val="footnote reference"/>
    <w:semiHidden/>
    <w:rPr>
      <w:noProof w:val="0"/>
      <w:position w:val="6"/>
      <w:sz w:val="16"/>
      <w:vertAlign w:val="superscript"/>
      <w:lang w:val="en-GB"/>
    </w:rPr>
  </w:style>
  <w:style w:type="paragraph" w:styleId="Lbjegyzetszveg">
    <w:name w:val="footnote text"/>
    <w:basedOn w:val="Norml"/>
    <w:link w:val="LbjegyzetszvegChar"/>
    <w:semiHidden/>
    <w:pPr>
      <w:ind w:left="57" w:hanging="57"/>
    </w:pPr>
    <w:rPr>
      <w:sz w:val="20"/>
    </w:rPr>
  </w:style>
  <w:style w:type="paragraph" w:customStyle="1" w:styleId="Hangingindent">
    <w:name w:val="Hanging indent"/>
    <w:basedOn w:val="Norml"/>
    <w:pPr>
      <w:spacing w:line="360" w:lineRule="atLeast"/>
      <w:ind w:left="567" w:hanging="567"/>
    </w:pPr>
    <w:rPr>
      <w:rFonts w:ascii="H-Times New Roman" w:hAnsi="H-Times New Roman"/>
    </w:rPr>
  </w:style>
  <w:style w:type="paragraph" w:customStyle="1" w:styleId="Hangingindent2">
    <w:name w:val="Hanging indent2"/>
    <w:basedOn w:val="Hangingindent"/>
    <w:pPr>
      <w:ind w:left="737" w:hanging="737"/>
    </w:pPr>
  </w:style>
  <w:style w:type="paragraph" w:styleId="lfej">
    <w:name w:val="header"/>
    <w:basedOn w:val="Norml"/>
    <w:pPr>
      <w:tabs>
        <w:tab w:val="center" w:pos="4320"/>
        <w:tab w:val="right" w:pos="8640"/>
      </w:tabs>
    </w:pPr>
    <w:rPr>
      <w:sz w:val="22"/>
    </w:rPr>
  </w:style>
  <w:style w:type="paragraph" w:styleId="Trgymutat1">
    <w:name w:val="index 1"/>
    <w:basedOn w:val="Norml"/>
    <w:next w:val="Norml"/>
    <w:autoRedefine/>
    <w:semiHidden/>
  </w:style>
  <w:style w:type="paragraph" w:styleId="Trgymutat2">
    <w:name w:val="index 2"/>
    <w:basedOn w:val="Norml"/>
    <w:next w:val="Norml"/>
    <w:autoRedefine/>
    <w:semiHidden/>
    <w:pPr>
      <w:ind w:left="360"/>
    </w:pPr>
  </w:style>
  <w:style w:type="paragraph" w:styleId="Trgymutat3">
    <w:name w:val="index 3"/>
    <w:basedOn w:val="Norml"/>
    <w:next w:val="Norml"/>
    <w:autoRedefine/>
    <w:semiHidden/>
    <w:pPr>
      <w:ind w:left="720"/>
    </w:pPr>
  </w:style>
  <w:style w:type="paragraph" w:styleId="Trgymutat4">
    <w:name w:val="index 4"/>
    <w:basedOn w:val="Norml"/>
    <w:next w:val="Norml"/>
    <w:autoRedefine/>
    <w:semiHidden/>
    <w:pPr>
      <w:ind w:left="1080"/>
    </w:pPr>
  </w:style>
  <w:style w:type="paragraph" w:styleId="Trgymutat5">
    <w:name w:val="index 5"/>
    <w:basedOn w:val="Norml"/>
    <w:next w:val="Norml"/>
    <w:autoRedefine/>
    <w:semiHidden/>
    <w:pPr>
      <w:ind w:left="1440"/>
    </w:pPr>
  </w:style>
  <w:style w:type="paragraph" w:styleId="Trgymutat6">
    <w:name w:val="index 6"/>
    <w:basedOn w:val="Norml"/>
    <w:next w:val="Norml"/>
    <w:autoRedefine/>
    <w:semiHidden/>
    <w:pPr>
      <w:ind w:left="1800"/>
    </w:pPr>
  </w:style>
  <w:style w:type="paragraph" w:styleId="Trgymutat7">
    <w:name w:val="index 7"/>
    <w:basedOn w:val="Norml"/>
    <w:next w:val="Norml"/>
    <w:autoRedefine/>
    <w:semiHidden/>
    <w:pPr>
      <w:ind w:left="2160"/>
    </w:pPr>
  </w:style>
  <w:style w:type="paragraph" w:styleId="Trgymutatcm">
    <w:name w:val="index heading"/>
    <w:basedOn w:val="Norml"/>
    <w:next w:val="Trgymutat1"/>
    <w:semiHidden/>
  </w:style>
  <w:style w:type="character" w:styleId="Sorszma">
    <w:name w:val="line number"/>
    <w:basedOn w:val="Bekezdsalapbettpusa"/>
  </w:style>
  <w:style w:type="paragraph" w:styleId="Normlbehzs">
    <w:name w:val="Normal Indent"/>
    <w:basedOn w:val="Norml"/>
    <w:pPr>
      <w:ind w:left="720"/>
    </w:pPr>
  </w:style>
  <w:style w:type="paragraph" w:customStyle="1" w:styleId="Sajt1">
    <w:name w:val="Saját1"/>
    <w:basedOn w:val="Norml"/>
    <w:pPr>
      <w:widowControl w:val="0"/>
    </w:pPr>
    <w:rPr>
      <w:rFonts w:ascii="Arial" w:hAnsi="Arial"/>
      <w:i/>
    </w:rPr>
  </w:style>
  <w:style w:type="paragraph" w:styleId="TJ1">
    <w:name w:val="toc 1"/>
    <w:basedOn w:val="Norml"/>
    <w:next w:val="Norml"/>
    <w:autoRedefine/>
    <w:semiHidden/>
    <w:pPr>
      <w:keepNext/>
      <w:tabs>
        <w:tab w:val="left" w:leader="dot" w:pos="8428"/>
        <w:tab w:val="right" w:pos="8788"/>
      </w:tabs>
      <w:spacing w:before="480" w:after="240"/>
      <w:ind w:left="284" w:hanging="284"/>
    </w:pPr>
    <w:rPr>
      <w:b/>
    </w:rPr>
  </w:style>
  <w:style w:type="paragraph" w:styleId="TJ2">
    <w:name w:val="toc 2"/>
    <w:basedOn w:val="Norml"/>
    <w:next w:val="Norml"/>
    <w:autoRedefine/>
    <w:semiHidden/>
    <w:pPr>
      <w:tabs>
        <w:tab w:val="left" w:leader="dot" w:pos="8428"/>
        <w:tab w:val="right" w:pos="8788"/>
      </w:tabs>
      <w:ind w:left="170"/>
    </w:pPr>
    <w:rPr>
      <w:b/>
      <w:sz w:val="22"/>
    </w:rPr>
  </w:style>
  <w:style w:type="paragraph" w:styleId="TJ3">
    <w:name w:val="toc 3"/>
    <w:basedOn w:val="Norml"/>
    <w:next w:val="Norml"/>
    <w:autoRedefine/>
    <w:semiHidden/>
    <w:pPr>
      <w:tabs>
        <w:tab w:val="left" w:leader="dot" w:pos="8428"/>
        <w:tab w:val="right" w:pos="8788"/>
      </w:tabs>
      <w:ind w:left="340"/>
    </w:pPr>
    <w:rPr>
      <w:sz w:val="22"/>
    </w:rPr>
  </w:style>
  <w:style w:type="paragraph" w:styleId="TJ4">
    <w:name w:val="toc 4"/>
    <w:basedOn w:val="Norml"/>
    <w:next w:val="Norml"/>
    <w:autoRedefine/>
    <w:semiHidden/>
    <w:pPr>
      <w:tabs>
        <w:tab w:val="left" w:leader="dot" w:pos="8428"/>
        <w:tab w:val="right" w:pos="8788"/>
      </w:tabs>
      <w:ind w:left="680" w:hanging="170"/>
    </w:pPr>
    <w:rPr>
      <w:sz w:val="22"/>
    </w:rPr>
  </w:style>
  <w:style w:type="paragraph" w:styleId="TJ5">
    <w:name w:val="toc 5"/>
    <w:basedOn w:val="Norml"/>
    <w:next w:val="Norml"/>
    <w:autoRedefine/>
    <w:semiHidden/>
    <w:pPr>
      <w:tabs>
        <w:tab w:val="left" w:leader="dot" w:pos="8428"/>
        <w:tab w:val="right" w:pos="8788"/>
      </w:tabs>
      <w:ind w:left="680"/>
    </w:pPr>
    <w:rPr>
      <w:sz w:val="22"/>
    </w:rPr>
  </w:style>
  <w:style w:type="paragraph" w:styleId="TJ6">
    <w:name w:val="toc 6"/>
    <w:basedOn w:val="Norml"/>
    <w:next w:val="Norml"/>
    <w:autoRedefine/>
    <w:semiHidden/>
    <w:pPr>
      <w:tabs>
        <w:tab w:val="left" w:leader="dot" w:pos="8428"/>
        <w:tab w:val="right" w:pos="8788"/>
      </w:tabs>
      <w:ind w:left="2269" w:hanging="1418"/>
    </w:pPr>
    <w:rPr>
      <w:sz w:val="22"/>
    </w:rPr>
  </w:style>
  <w:style w:type="paragraph" w:styleId="TJ7">
    <w:name w:val="toc 7"/>
    <w:basedOn w:val="Norml"/>
    <w:next w:val="Norml"/>
    <w:autoRedefine/>
    <w:semiHidden/>
    <w:pPr>
      <w:tabs>
        <w:tab w:val="left" w:leader="dot" w:pos="8428"/>
        <w:tab w:val="right" w:pos="8788"/>
      </w:tabs>
      <w:ind w:left="1021"/>
    </w:pPr>
  </w:style>
  <w:style w:type="paragraph" w:styleId="TJ8">
    <w:name w:val="toc 8"/>
    <w:basedOn w:val="Norml"/>
    <w:next w:val="Norml"/>
    <w:autoRedefine/>
    <w:semiHidden/>
    <w:pPr>
      <w:tabs>
        <w:tab w:val="left" w:leader="dot" w:pos="8428"/>
        <w:tab w:val="right" w:pos="8788"/>
      </w:tabs>
      <w:ind w:left="5040" w:right="720"/>
    </w:pPr>
  </w:style>
  <w:style w:type="paragraph" w:styleId="TJ9">
    <w:name w:val="toc 9"/>
    <w:basedOn w:val="Norml"/>
    <w:next w:val="Norml"/>
    <w:autoRedefine/>
    <w:semiHidden/>
    <w:pPr>
      <w:tabs>
        <w:tab w:val="right" w:leader="dot" w:pos="8788"/>
      </w:tabs>
      <w:ind w:left="1920"/>
    </w:pPr>
  </w:style>
  <w:style w:type="paragraph" w:customStyle="1" w:styleId="TP">
    <w:name w:val="TP"/>
    <w:pPr>
      <w:tabs>
        <w:tab w:val="left" w:pos="2880"/>
      </w:tabs>
      <w:spacing w:before="240" w:line="240" w:lineRule="exact"/>
      <w:ind w:left="3600" w:hanging="864"/>
      <w:jc w:val="both"/>
    </w:pPr>
    <w:rPr>
      <w:rFonts w:ascii="Courier" w:hAnsi="Courier"/>
      <w:sz w:val="24"/>
      <w:lang w:val="en-US"/>
    </w:rPr>
  </w:style>
  <w:style w:type="character" w:styleId="Oldalszm">
    <w:name w:val="page number"/>
    <w:basedOn w:val="Bekezdsalapbettpusa"/>
    <w:uiPriority w:val="99"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character" w:styleId="Hiperhivatkozs">
    <w:name w:val="Hyperlink"/>
    <w:rsid w:val="000421A6"/>
    <w:rPr>
      <w:color w:val="0000FF"/>
      <w:u w:val="single"/>
    </w:rPr>
  </w:style>
  <w:style w:type="character" w:customStyle="1" w:styleId="llbChar">
    <w:name w:val="Élőláb Char"/>
    <w:basedOn w:val="Bekezdsalapbettpusa"/>
    <w:link w:val="llb"/>
    <w:rsid w:val="004D5764"/>
  </w:style>
  <w:style w:type="paragraph" w:customStyle="1" w:styleId="Default">
    <w:name w:val="Default"/>
    <w:basedOn w:val="Norml"/>
    <w:rsid w:val="00184F2F"/>
    <w:pPr>
      <w:autoSpaceDE w:val="0"/>
      <w:autoSpaceDN w:val="0"/>
    </w:pPr>
    <w:rPr>
      <w:rFonts w:ascii="Arial" w:eastAsia="Calibri" w:hAnsi="Arial" w:cs="Arial"/>
      <w:color w:val="000000"/>
      <w:szCs w:val="24"/>
    </w:rPr>
  </w:style>
  <w:style w:type="paragraph" w:customStyle="1" w:styleId="CM1">
    <w:name w:val="CM1"/>
    <w:basedOn w:val="Default"/>
    <w:next w:val="Default"/>
    <w:uiPriority w:val="99"/>
    <w:rsid w:val="0048326A"/>
    <w:pPr>
      <w:adjustRightInd w:val="0"/>
    </w:pPr>
    <w:rPr>
      <w:rFonts w:ascii="EUAlbertina" w:eastAsia="Times New Roman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48326A"/>
    <w:pPr>
      <w:adjustRightInd w:val="0"/>
    </w:pPr>
    <w:rPr>
      <w:rFonts w:ascii="EUAlbertina" w:eastAsia="Times New Roman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48326A"/>
    <w:pPr>
      <w:adjustRightInd w:val="0"/>
    </w:pPr>
    <w:rPr>
      <w:rFonts w:ascii="EUAlbertina" w:eastAsia="Times New Roman" w:hAnsi="EUAlbertina" w:cs="Times New Roman"/>
      <w:color w:val="auto"/>
    </w:rPr>
  </w:style>
  <w:style w:type="paragraph" w:styleId="Szvegtrzsbehzssal">
    <w:name w:val="Body Text Indent"/>
    <w:basedOn w:val="Norml"/>
    <w:link w:val="SzvegtrzsbehzssalChar"/>
    <w:rsid w:val="002F376E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2F376E"/>
    <w:rPr>
      <w:sz w:val="24"/>
    </w:rPr>
  </w:style>
  <w:style w:type="paragraph" w:styleId="Szmozottlista">
    <w:name w:val="List Number"/>
    <w:basedOn w:val="Norml"/>
    <w:rsid w:val="002F376E"/>
    <w:pPr>
      <w:numPr>
        <w:numId w:val="36"/>
      </w:numPr>
    </w:pPr>
    <w:rPr>
      <w:rFonts w:eastAsia="SPT Phonetic"/>
    </w:rPr>
  </w:style>
  <w:style w:type="character" w:customStyle="1" w:styleId="LbjegyzetszvegChar">
    <w:name w:val="Lábjegyzetszöveg Char"/>
    <w:link w:val="Lbjegyzetszveg"/>
    <w:semiHidden/>
    <w:locked/>
    <w:rsid w:val="002F376E"/>
  </w:style>
  <w:style w:type="character" w:customStyle="1" w:styleId="DeltaViewInsertion">
    <w:name w:val="DeltaView Insertion"/>
    <w:rsid w:val="002F376E"/>
    <w:rPr>
      <w:color w:val="0000FF"/>
      <w:spacing w:val="0"/>
      <w:u w:val="double"/>
    </w:rPr>
  </w:style>
  <w:style w:type="character" w:customStyle="1" w:styleId="DeltaViewMoveDestination">
    <w:name w:val="DeltaView Move Destination"/>
    <w:uiPriority w:val="99"/>
    <w:rsid w:val="002F376E"/>
    <w:rPr>
      <w:color w:val="00C000"/>
      <w:spacing w:val="0"/>
      <w:u w:val="double"/>
    </w:rPr>
  </w:style>
  <w:style w:type="paragraph" w:styleId="Vltozat">
    <w:name w:val="Revision"/>
    <w:hidden/>
    <w:uiPriority w:val="99"/>
    <w:semiHidden/>
    <w:rsid w:val="0047628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DCF6E8E71DB23478E7134B300E0B00D" ma:contentTypeVersion="0" ma:contentTypeDescription="Új dokumentum létrehozása." ma:contentTypeScope="" ma:versionID="46acdd796905db9814ce63efd2e4112b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29AE6-B43F-45FE-AF12-4367D6BF4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2E7E13C-4587-4962-9993-198FED9FA6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86BC88-DA2C-4460-802E-33E3A21F10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F4E84B-167D-4B7A-9DA1-60B254C9C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1191</Words>
  <Characters>8222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MT RRO MELLEKLET 1.</vt:lpstr>
    </vt:vector>
  </TitlesOfParts>
  <Company>Inteltrade Rt.</Company>
  <LinksUpToDate>false</LinksUpToDate>
  <CharactersWithSpaces>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 RRO MELLEKLET 1.</dc:title>
  <dc:subject>MT RRO MELLEKLET 1.</dc:subject>
  <dc:creator>NEMETHGABOR</dc:creator>
  <cp:keywords>MT RRO MELLEKLET 1.</cp:keywords>
  <cp:lastModifiedBy>Révész-Veres Tamás</cp:lastModifiedBy>
  <cp:revision>30</cp:revision>
  <cp:lastPrinted>2008-05-13T11:12:00Z</cp:lastPrinted>
  <dcterms:created xsi:type="dcterms:W3CDTF">2022-10-04T14:45:00Z</dcterms:created>
  <dcterms:modified xsi:type="dcterms:W3CDTF">2022-10-17T13:50:00Z</dcterms:modified>
  <cp:category>MT RRO MELLEKLET 1.</cp:category>
  <cp:contentStatus>MT RRO MELLEKLET 1.</cp:contentStatus>
</cp:coreProperties>
</file>